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F7D2F">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电子信息专业学位研究生培养方案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7"/>
        <w:gridCol w:w="2577"/>
        <w:gridCol w:w="1075"/>
        <w:gridCol w:w="2611"/>
      </w:tblGrid>
      <w:tr w14:paraId="22EB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C75402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78AC2AD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6BA82EB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6BE4C29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(0854)电子信息</w:t>
            </w:r>
          </w:p>
        </w:tc>
      </w:tr>
      <w:tr w14:paraId="59D4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DF9944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73E7CF3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49468CF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4951C95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2020级</w:t>
            </w:r>
          </w:p>
        </w:tc>
      </w:tr>
      <w:tr w14:paraId="50D3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BE9722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1A82A34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(085400)电子信息;</w:t>
            </w:r>
          </w:p>
        </w:tc>
      </w:tr>
      <w:tr w14:paraId="05E7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0DA065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3"/>
              <w:gridCol w:w="1200"/>
              <w:gridCol w:w="960"/>
              <w:gridCol w:w="960"/>
            </w:tblGrid>
            <w:tr w14:paraId="2885D6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5168AD5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575ACA1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4A6CACB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021BF3C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3C6CE5A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17DD823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63E35F0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45E3883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62F4A34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1E44AB3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0190CDC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5276B76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55F2D3C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37052E76">
            <w:pPr>
              <w:jc w:val="center"/>
            </w:pPr>
          </w:p>
        </w:tc>
      </w:tr>
      <w:tr w14:paraId="0989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696F67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71896A8A">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以习近平新时代中国特色社会主义思想为指导，全面贯彻党的教育方针，培养德智体美劳全面发展的电子信息专门人才。    </w:t>
            </w:r>
          </w:p>
          <w:p w14:paraId="1C39942A">
            <w:pPr>
              <w:pStyle w:val="3"/>
              <w:keepNext w:val="0"/>
              <w:keepLines w:val="0"/>
              <w:widowControl/>
              <w:suppressLineNumbers w:val="0"/>
              <w:spacing w:line="300" w:lineRule="atLeast"/>
              <w:jc w:val="both"/>
            </w:pPr>
            <w:r>
              <w:t xml:space="preserve">    面向经济社会发展和行业创新发展需求，培养在集成电路工程领域具有集成电路设计、集成系统设计、集成电路制造、测试、封装、材料制备与设备制造等方面的应用型、复合型高层次工程技术和工程管理人才。</w:t>
            </w:r>
          </w:p>
        </w:tc>
      </w:tr>
      <w:tr w14:paraId="71F3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94BC8E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5122A96D">
            <w:pPr>
              <w:pStyle w:val="3"/>
              <w:keepNext w:val="0"/>
              <w:keepLines w:val="0"/>
              <w:widowControl/>
              <w:suppressLineNumbers w:val="0"/>
              <w:spacing w:line="300" w:lineRule="atLeast"/>
              <w:jc w:val="both"/>
            </w:pPr>
            <w:r>
              <w:t xml:space="preserve">    ( 一 ） 拥护中国共产党的领导，热爱祖国，遵纪守法，具有服务国家和人民的高度社会责任感、良好的职业道德和创业精神、科学严谨和求真务实的学习态度和工作作风，身心健康。</w:t>
            </w:r>
          </w:p>
          <w:p w14:paraId="3DDC9F6D">
            <w:pPr>
              <w:pStyle w:val="3"/>
              <w:keepNext w:val="0"/>
              <w:keepLines w:val="0"/>
              <w:widowControl/>
              <w:suppressLineNumbers w:val="0"/>
              <w:spacing w:line="300" w:lineRule="atLeast"/>
              <w:jc w:val="both"/>
            </w:pPr>
            <w:r>
              <w:t xml:space="preserve">    ( 二 ） 掌握集成电路行业领域坚实的基础理论、宽广的专业知识及管理知识，熟悉行业领域的相关规范，掌握解决集成电路工程领域技术问题的先进方法和现代手段，在集成电路行业领域的某一方向具有独立担负工程规划、工程设计、工程实施、工程研究、工程开发、工程管理等专门技术工作的能力，具有良好的职业素养。</w:t>
            </w:r>
          </w:p>
          <w:p w14:paraId="5C6F69B2">
            <w:pPr>
              <w:pStyle w:val="3"/>
              <w:keepNext w:val="0"/>
              <w:keepLines w:val="0"/>
              <w:widowControl/>
              <w:suppressLineNumbers w:val="0"/>
              <w:spacing w:line="300" w:lineRule="atLeast"/>
              <w:jc w:val="both"/>
            </w:pPr>
            <w:r>
              <w:t xml:space="preserve">    ( 三 ） 掌握一门外国语，能够顺利阅读本领域国内外科技资料和文献。</w:t>
            </w:r>
          </w:p>
        </w:tc>
      </w:tr>
      <w:tr w14:paraId="7E12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D79C3B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3B278B20">
            <w:pPr>
              <w:pStyle w:val="3"/>
              <w:keepNext w:val="0"/>
              <w:keepLines w:val="0"/>
              <w:widowControl/>
              <w:suppressLineNumbers w:val="0"/>
              <w:spacing w:line="300" w:lineRule="atLeast"/>
              <w:jc w:val="both"/>
            </w:pPr>
            <w:r>
              <w:t xml:space="preserve">    集成电路工程涵盖集成电路设计、制造、测试、封装、材料、设备等技术研发以及集成电路在网络通信、数字家电、信息安全等方面应用的工程技术领域。集成电路高密度、小尺度、高性能的特点，使得集成电路工程技术成为当今最具有渗透性和综合性的工程技术领域之一。集成电路设计和制造作为应用产品的核心，是现代电子系统面向用户、面向产品、面向应用赢得竞争力的要求，同时也是传统产业升级和改造的关键。集成电路应用相关的工程领域包括电子科学与技术、信息与通信工程、计算机科学与技术、控制科学与工程、仪器科学与技术、核科学与技术、电气工程、汽车工程、光学工程、生物医学工程、兵器工程、航天工程等学科交叉领域，面向物联网、新媒体、全光网、云计算、大数据、区块链、广播电视、边缘计算、人工智能、新一代移动通信网络等高科技领域。</w:t>
            </w:r>
          </w:p>
        </w:tc>
      </w:tr>
      <w:tr w14:paraId="0092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763B8A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414CB76F">
            <w:pPr>
              <w:pStyle w:val="3"/>
              <w:keepNext w:val="0"/>
              <w:keepLines w:val="0"/>
              <w:widowControl/>
              <w:suppressLineNumbers w:val="0"/>
              <w:spacing w:line="300" w:lineRule="atLeast"/>
              <w:jc w:val="both"/>
            </w:pPr>
            <w:r>
              <w:t xml:space="preserve">    专业学位研究生的培养采取课程学习、专业实践、学位论文相结合的方式。实行校内导师和行（企）业导师共同指导的双导师培养方式。其中校内导师一般为第一导师，主要负责课程教学与考核、专业实践和学位论文指导与评价考核。行（企）业导师为第二导师，主要指导研究生专业实践并参与课程教学与学位论文环节的指导工作和评价考核。完成实践环节的实习后，由实习单位出具学生的实习情况鉴定，学生需撰写和提交专业实践报告。专业实践报告主要介绍在企业的实习工作（技术开发、产品调试、市场调研、技术支持等）情况和工作总结。由培养单位组织专家对学生的实习鉴定和专业实践报告进行审阅并给出实习成绩评定，不通过者不能申请学位论文答辩。学生学位论文工作可与实践环节参与的工作相结合。</w:t>
            </w:r>
          </w:p>
          <w:p w14:paraId="04EFADD3">
            <w:pPr>
              <w:pStyle w:val="3"/>
              <w:keepNext w:val="0"/>
              <w:keepLines w:val="0"/>
              <w:widowControl/>
              <w:suppressLineNumbers w:val="0"/>
              <w:spacing w:line="300" w:lineRule="atLeast"/>
              <w:jc w:val="both"/>
            </w:pPr>
            <w:r>
              <w:t xml:space="preserve">    （一）课程学习  须按照培养计划严格执行，其中公共课程、专业基础课程和选修课程主要在学校集中学习。校企联合课程、案例课程以及职业素养课程可在培养单位或企业开展。</w:t>
            </w:r>
          </w:p>
          <w:p w14:paraId="3DA74220">
            <w:pPr>
              <w:pStyle w:val="3"/>
              <w:keepNext w:val="0"/>
              <w:keepLines w:val="0"/>
              <w:widowControl/>
              <w:suppressLineNumbers w:val="0"/>
              <w:spacing w:line="300" w:lineRule="atLeast"/>
              <w:jc w:val="both"/>
            </w:pPr>
            <w:r>
              <w:t xml:space="preserve">    （二）专业实践  可采用集中实践和分段实践相结合的方式。具有2年及以上企业工作经历的集成电路工程类专业学位研究生专业实践时间应不少于6个月，不具有2年企业工作经历的集成电路工程类专业学位研究生专业实践时间应不少于1年。</w:t>
            </w:r>
          </w:p>
          <w:p w14:paraId="78F72B37">
            <w:pPr>
              <w:pStyle w:val="3"/>
              <w:keepNext w:val="0"/>
              <w:keepLines w:val="0"/>
              <w:widowControl/>
              <w:suppressLineNumbers w:val="0"/>
              <w:spacing w:line="300" w:lineRule="atLeast"/>
              <w:jc w:val="both"/>
            </w:pPr>
            <w:r>
              <w:t xml:space="preserve">    （三）学位论文  学位论文的研究工作是集成电路工程类专业学位研究生综合运用所学基础理论和专业知识，在一定实践经验基础上掌握对集成电路工程实际问题研究能力的重要手段。学位论文的选题应来源于集成电路工程实际或者具有明确的集成电路工程应用背景。学位论文研究工作一般应与专业实践相结合，时间不少于1年。</w:t>
            </w:r>
          </w:p>
        </w:tc>
      </w:tr>
      <w:tr w14:paraId="241B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30369D2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0F13C42D">
            <w:pPr>
              <w:pStyle w:val="3"/>
              <w:keepNext w:val="0"/>
              <w:keepLines w:val="0"/>
              <w:widowControl/>
              <w:suppressLineNumbers w:val="0"/>
              <w:spacing w:line="300" w:lineRule="atLeast"/>
              <w:jc w:val="both"/>
            </w:pPr>
            <w:r>
              <w:t xml:space="preserve">    论文工作须在导师组指导下，导师同意其研究生参加学位论文答辩，研究生方可提出学位申请。研究工作由工程类硕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p w14:paraId="41A92683">
            <w:pPr>
              <w:pStyle w:val="3"/>
              <w:keepNext w:val="0"/>
              <w:keepLines w:val="0"/>
              <w:widowControl/>
              <w:suppressLineNumbers w:val="0"/>
              <w:spacing w:line="300" w:lineRule="atLeast"/>
              <w:jc w:val="both"/>
            </w:pPr>
            <w:r>
              <w:t>1．选题与综述的要求</w:t>
            </w:r>
          </w:p>
          <w:p w14:paraId="1134AB75">
            <w:pPr>
              <w:pStyle w:val="3"/>
              <w:keepNext w:val="0"/>
              <w:keepLines w:val="0"/>
              <w:widowControl/>
              <w:suppressLineNumbers w:val="0"/>
              <w:spacing w:line="300" w:lineRule="atLeast"/>
              <w:jc w:val="both"/>
            </w:pPr>
            <w:r>
              <w:t>论文选题应来源于工程实际或者具有明确的工程应用背景，可以是一个完整的工程技术项目的设计或研究课题，可以是技术攻关、技术改造专题，可以是新工艺、新设备、新材料、新产品的研制与开发等。论文综述部分应包括至少如下几部分: (1)研究问题的历史沿革、研究现状或提出背景；(2)研究问题的阶段性进展或已有基础；(3)尚未解决的问题及其原因或瓶颈；(4)研究的思路、目标以及主要的关键技术问题，技术路径和简要技术路线等。</w:t>
            </w:r>
          </w:p>
          <w:p w14:paraId="7D6603CE">
            <w:pPr>
              <w:pStyle w:val="3"/>
              <w:keepNext w:val="0"/>
              <w:keepLines w:val="0"/>
              <w:widowControl/>
              <w:suppressLineNumbers w:val="0"/>
              <w:spacing w:line="300" w:lineRule="atLeast"/>
              <w:jc w:val="both"/>
            </w:pPr>
            <w:r>
              <w:t>2．规范性要求</w:t>
            </w:r>
          </w:p>
          <w:p w14:paraId="64A50E0B">
            <w:pPr>
              <w:pStyle w:val="3"/>
              <w:keepNext w:val="0"/>
              <w:keepLines w:val="0"/>
              <w:widowControl/>
              <w:suppressLineNumbers w:val="0"/>
              <w:spacing w:line="300" w:lineRule="atLeast"/>
              <w:jc w:val="both"/>
            </w:pPr>
            <w:r>
              <w:t>本专业领域硕士学位论文要求主要有:</w:t>
            </w:r>
          </w:p>
          <w:p w14:paraId="3D6D7C82">
            <w:pPr>
              <w:pStyle w:val="3"/>
              <w:keepNext w:val="0"/>
              <w:keepLines w:val="0"/>
              <w:widowControl/>
              <w:suppressLineNumbers w:val="0"/>
              <w:spacing w:line="300" w:lineRule="atLeast"/>
              <w:jc w:val="both"/>
            </w:pPr>
            <w:r>
              <w:t>(1)学位论文应具有一定的学术意义或实用价值。论文应表明作者具有从事科学研究工作的能力，在科学或专门技术上做出有一定创新性的成果，并反映出作者掌握了本学科的基础理论和系统的专门知识。</w:t>
            </w:r>
          </w:p>
          <w:p w14:paraId="348AFE8A">
            <w:pPr>
              <w:pStyle w:val="3"/>
              <w:keepNext w:val="0"/>
              <w:keepLines w:val="0"/>
              <w:widowControl/>
              <w:suppressLineNumbers w:val="0"/>
              <w:spacing w:line="300" w:lineRule="atLeast"/>
              <w:jc w:val="both"/>
            </w:pPr>
            <w:r>
              <w:t>(2)选题和开题的必要条件是，修满培养计划规定的学分并具备从事实验研究必需的技能或从事理论研究的知识积累。</w:t>
            </w:r>
          </w:p>
          <w:p w14:paraId="11ADFAD1">
            <w:pPr>
              <w:pStyle w:val="3"/>
              <w:keepNext w:val="0"/>
              <w:keepLines w:val="0"/>
              <w:widowControl/>
              <w:suppressLineNumbers w:val="0"/>
              <w:spacing w:line="300" w:lineRule="atLeast"/>
              <w:jc w:val="both"/>
            </w:pPr>
            <w:r>
              <w:t>(3)在入学的一年半内完成开题报告。</w:t>
            </w:r>
          </w:p>
          <w:p w14:paraId="6A33032F">
            <w:pPr>
              <w:pStyle w:val="3"/>
              <w:keepNext w:val="0"/>
              <w:keepLines w:val="0"/>
              <w:widowControl/>
              <w:suppressLineNumbers w:val="0"/>
              <w:spacing w:line="300" w:lineRule="atLeast"/>
              <w:jc w:val="both"/>
            </w:pPr>
            <w:r>
              <w:t>(4)硕士学位论文应在导师指导下由硕士生本人独立完成，实验和论文写作时间不少于一年半。</w:t>
            </w:r>
          </w:p>
          <w:p w14:paraId="386A8368">
            <w:pPr>
              <w:pStyle w:val="3"/>
              <w:keepNext w:val="0"/>
              <w:keepLines w:val="0"/>
              <w:widowControl/>
              <w:suppressLineNumbers w:val="0"/>
              <w:spacing w:line="300" w:lineRule="atLeast"/>
              <w:jc w:val="both"/>
            </w:pPr>
            <w:r>
              <w:t>(5)硕士学位论文要求文句简练、印刷工整、图表清晰、层次分明、学风严谨、计算无误、数据可靠、结论正确。</w:t>
            </w:r>
          </w:p>
          <w:p w14:paraId="4C6A16FF">
            <w:pPr>
              <w:pStyle w:val="3"/>
              <w:keepNext w:val="0"/>
              <w:keepLines w:val="0"/>
              <w:widowControl/>
              <w:suppressLineNumbers w:val="0"/>
              <w:spacing w:line="300" w:lineRule="atLeast"/>
              <w:jc w:val="both"/>
            </w:pPr>
            <w:r>
              <w:t>(6)学位论文内容应包括:①简要说明选题的学术意义或应用价值，国内外研究动态，需要解决的问题和技术途径以及本人所做出的工作。②说明所采用的理论与实验方法或计算方法，并将整理和处理的数据进行理论上的分析和讨论。③对所得结果进行概括和总结，并提出进一步研究的看法和建议。④写出必要的公式、计算方法和算法、必要的原始数据以及所引用的文件和资料。⑤引用别人的科研成果和与别人合作的部分应以适当方式标注。</w:t>
            </w:r>
          </w:p>
          <w:p w14:paraId="4A503284">
            <w:pPr>
              <w:pStyle w:val="3"/>
              <w:keepNext w:val="0"/>
              <w:keepLines w:val="0"/>
              <w:widowControl/>
              <w:suppressLineNumbers w:val="0"/>
              <w:spacing w:line="300" w:lineRule="atLeast"/>
              <w:jc w:val="both"/>
            </w:pPr>
            <w:r>
              <w:t>3.论文应在2万字以上，且与本人核心研究内容相关的字数应占60%以上。</w:t>
            </w:r>
          </w:p>
          <w:p w14:paraId="1D5FF528">
            <w:pPr>
              <w:pStyle w:val="3"/>
              <w:keepNext w:val="0"/>
              <w:keepLines w:val="0"/>
              <w:widowControl/>
              <w:suppressLineNumbers w:val="0"/>
              <w:spacing w:line="300" w:lineRule="atLeast"/>
              <w:jc w:val="both"/>
            </w:pPr>
            <w:r>
              <w:t>4.学位论文应进行查重检查，查重率不得超过10%。</w:t>
            </w:r>
          </w:p>
          <w:p w14:paraId="0C7F0659">
            <w:pPr>
              <w:pStyle w:val="3"/>
              <w:keepNext w:val="0"/>
              <w:keepLines w:val="0"/>
              <w:widowControl/>
              <w:suppressLineNumbers w:val="0"/>
              <w:spacing w:line="300" w:lineRule="atLeast"/>
              <w:jc w:val="both"/>
            </w:pPr>
            <w:r>
              <w:t>5.通过学科点预审，研究生学位论文方可送审。</w:t>
            </w:r>
          </w:p>
          <w:p w14:paraId="5F9C21FC">
            <w:pPr>
              <w:pStyle w:val="3"/>
              <w:keepNext w:val="0"/>
              <w:keepLines w:val="0"/>
              <w:widowControl/>
              <w:suppressLineNumbers w:val="0"/>
              <w:spacing w:line="300" w:lineRule="atLeast"/>
              <w:jc w:val="both"/>
            </w:pPr>
            <w:r>
              <w:t>6.成果创新性要求</w:t>
            </w:r>
          </w:p>
          <w:p w14:paraId="1ADAA021">
            <w:pPr>
              <w:pStyle w:val="3"/>
              <w:keepNext w:val="0"/>
              <w:keepLines w:val="0"/>
              <w:widowControl/>
              <w:suppressLineNumbers w:val="0"/>
              <w:spacing w:line="300" w:lineRule="atLeast"/>
              <w:jc w:val="both"/>
            </w:pPr>
            <w:r>
              <w:t>硕士专业学位研究生取得成果需满足以下要求之一：</w:t>
            </w:r>
          </w:p>
          <w:p w14:paraId="1FF4CD36">
            <w:pPr>
              <w:pStyle w:val="3"/>
              <w:keepNext w:val="0"/>
              <w:keepLines w:val="0"/>
              <w:widowControl/>
              <w:suppressLineNumbers w:val="0"/>
              <w:spacing w:line="300" w:lineRule="atLeast"/>
              <w:jc w:val="both"/>
            </w:pPr>
            <w:r>
              <w:t>(1)第一作者（或者导师第一作者，学生第二作者）申请发明专利1项。</w:t>
            </w:r>
          </w:p>
          <w:p w14:paraId="655BCDFD">
            <w:pPr>
              <w:pStyle w:val="3"/>
              <w:keepNext w:val="0"/>
              <w:keepLines w:val="0"/>
              <w:widowControl/>
              <w:suppressLineNumbers w:val="0"/>
              <w:spacing w:line="300" w:lineRule="atLeast"/>
              <w:jc w:val="both"/>
            </w:pPr>
            <w:r>
              <w:t>(2)获得实践单位认可或被采纳应用的技术改进、工艺优化、产品设计等工程技术领域的创新成果。</w:t>
            </w:r>
          </w:p>
          <w:p w14:paraId="321A0E81">
            <w:pPr>
              <w:pStyle w:val="3"/>
              <w:keepNext w:val="0"/>
              <w:keepLines w:val="0"/>
              <w:widowControl/>
              <w:suppressLineNumbers w:val="0"/>
              <w:spacing w:line="300" w:lineRule="atLeast"/>
              <w:jc w:val="both"/>
            </w:pPr>
            <w:r>
              <w:t>(3)作为作者之一，获得行业、部门、协会或省部级及以上奖励。</w:t>
            </w:r>
          </w:p>
        </w:tc>
      </w:tr>
      <w:tr w14:paraId="5EC6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5C7356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0A444A08">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46CBC5F6">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29D16134">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2106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FF2561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7A61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02"/>
              <w:gridCol w:w="769"/>
              <w:gridCol w:w="1762"/>
              <w:gridCol w:w="448"/>
              <w:gridCol w:w="448"/>
              <w:gridCol w:w="493"/>
              <w:gridCol w:w="1640"/>
              <w:gridCol w:w="778"/>
            </w:tblGrid>
            <w:tr w14:paraId="4E84DD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9077A7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3BA721E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0A7816E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6BF7964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32E567E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692CDE0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161D642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6587FD5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189AA3C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43211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48524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64A18A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3CEF45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3661D0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C90D5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1CD2F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FECC7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88F2A35">
                  <w:pPr>
                    <w:jc w:val="center"/>
                    <w:rPr>
                      <w:rFonts w:hint="eastAsia" w:ascii="宋体"/>
                      <w:sz w:val="10"/>
                      <w:szCs w:val="10"/>
                    </w:rPr>
                  </w:pPr>
                </w:p>
              </w:tc>
            </w:tr>
            <w:tr w14:paraId="7B5B54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E23DF5C">
                  <w:pPr>
                    <w:jc w:val="center"/>
                    <w:rPr>
                      <w:rFonts w:hint="eastAsia" w:ascii="宋体"/>
                      <w:sz w:val="10"/>
                      <w:szCs w:val="10"/>
                    </w:rPr>
                  </w:pPr>
                </w:p>
              </w:tc>
              <w:tc>
                <w:tcPr>
                  <w:tcW w:w="0" w:type="auto"/>
                  <w:shd w:val="clear" w:color="auto" w:fill="auto"/>
                  <w:vAlign w:val="center"/>
                </w:tcPr>
                <w:p w14:paraId="0B7934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6A3FC3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0FAC27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704AC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635FA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B9DB3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48C5130">
                  <w:pPr>
                    <w:jc w:val="center"/>
                    <w:rPr>
                      <w:rFonts w:hint="eastAsia" w:ascii="宋体"/>
                      <w:sz w:val="10"/>
                      <w:szCs w:val="10"/>
                    </w:rPr>
                  </w:pPr>
                </w:p>
              </w:tc>
            </w:tr>
            <w:tr w14:paraId="7402068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D8A442B">
                  <w:pPr>
                    <w:jc w:val="center"/>
                    <w:rPr>
                      <w:rFonts w:hint="eastAsia" w:ascii="宋体"/>
                      <w:sz w:val="10"/>
                      <w:szCs w:val="10"/>
                    </w:rPr>
                  </w:pPr>
                </w:p>
              </w:tc>
              <w:tc>
                <w:tcPr>
                  <w:tcW w:w="0" w:type="auto"/>
                  <w:shd w:val="clear" w:color="auto" w:fill="auto"/>
                  <w:vAlign w:val="center"/>
                </w:tcPr>
                <w:p w14:paraId="7C3340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065B26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734122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143EC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B092F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08A2E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7A357FF4">
                  <w:pPr>
                    <w:jc w:val="center"/>
                    <w:rPr>
                      <w:rFonts w:hint="eastAsia" w:ascii="宋体"/>
                      <w:sz w:val="10"/>
                      <w:szCs w:val="10"/>
                    </w:rPr>
                  </w:pPr>
                </w:p>
              </w:tc>
            </w:tr>
            <w:tr w14:paraId="65CD8C4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27E1BDB">
                  <w:pPr>
                    <w:jc w:val="center"/>
                    <w:rPr>
                      <w:rFonts w:hint="eastAsia" w:ascii="宋体"/>
                      <w:sz w:val="10"/>
                      <w:szCs w:val="10"/>
                    </w:rPr>
                  </w:pPr>
                </w:p>
              </w:tc>
              <w:tc>
                <w:tcPr>
                  <w:tcW w:w="0" w:type="auto"/>
                  <w:shd w:val="clear" w:color="auto" w:fill="auto"/>
                  <w:vAlign w:val="center"/>
                </w:tcPr>
                <w:p w14:paraId="3CC8F5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17960A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194F67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6C2F9C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29C15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222224F8">
                  <w:pPr>
                    <w:jc w:val="center"/>
                    <w:rPr>
                      <w:rFonts w:hint="eastAsia" w:ascii="宋体"/>
                      <w:sz w:val="10"/>
                      <w:szCs w:val="10"/>
                    </w:rPr>
                  </w:pPr>
                </w:p>
              </w:tc>
              <w:tc>
                <w:tcPr>
                  <w:tcW w:w="860" w:type="dxa"/>
                  <w:shd w:val="clear" w:color="auto" w:fill="auto"/>
                  <w:vAlign w:val="center"/>
                </w:tcPr>
                <w:p w14:paraId="528BF18D">
                  <w:pPr>
                    <w:jc w:val="center"/>
                    <w:rPr>
                      <w:rFonts w:hint="eastAsia" w:ascii="宋体"/>
                      <w:sz w:val="10"/>
                      <w:szCs w:val="10"/>
                    </w:rPr>
                  </w:pPr>
                </w:p>
              </w:tc>
            </w:tr>
            <w:tr w14:paraId="74A835B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B95350B">
                  <w:pPr>
                    <w:jc w:val="center"/>
                    <w:rPr>
                      <w:rFonts w:hint="eastAsia" w:ascii="宋体"/>
                      <w:sz w:val="10"/>
                      <w:szCs w:val="10"/>
                    </w:rPr>
                  </w:pPr>
                </w:p>
              </w:tc>
              <w:tc>
                <w:tcPr>
                  <w:tcW w:w="0" w:type="auto"/>
                  <w:shd w:val="clear" w:color="auto" w:fill="auto"/>
                  <w:vAlign w:val="center"/>
                </w:tcPr>
                <w:p w14:paraId="39BEF4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64A9C3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7ADD5C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1B0BF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48BF4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23F49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91AE6CE">
                  <w:pPr>
                    <w:jc w:val="center"/>
                    <w:rPr>
                      <w:rFonts w:hint="eastAsia" w:ascii="宋体"/>
                      <w:sz w:val="10"/>
                      <w:szCs w:val="10"/>
                    </w:rPr>
                  </w:pPr>
                </w:p>
              </w:tc>
            </w:tr>
            <w:tr w14:paraId="589BA63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6C10315">
                  <w:pPr>
                    <w:jc w:val="center"/>
                    <w:rPr>
                      <w:rFonts w:hint="eastAsia" w:ascii="宋体"/>
                      <w:sz w:val="10"/>
                      <w:szCs w:val="10"/>
                    </w:rPr>
                  </w:pPr>
                </w:p>
              </w:tc>
              <w:tc>
                <w:tcPr>
                  <w:tcW w:w="0" w:type="auto"/>
                  <w:shd w:val="clear" w:color="auto" w:fill="auto"/>
                  <w:vAlign w:val="center"/>
                </w:tcPr>
                <w:p w14:paraId="0CF7C3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6500D7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63928D8A">
                  <w:pPr>
                    <w:jc w:val="center"/>
                    <w:rPr>
                      <w:rFonts w:hint="eastAsia" w:ascii="宋体"/>
                      <w:sz w:val="10"/>
                      <w:szCs w:val="10"/>
                    </w:rPr>
                  </w:pPr>
                </w:p>
              </w:tc>
              <w:tc>
                <w:tcPr>
                  <w:tcW w:w="0" w:type="auto"/>
                  <w:shd w:val="clear" w:color="auto" w:fill="auto"/>
                  <w:vAlign w:val="center"/>
                </w:tcPr>
                <w:p w14:paraId="31D4A98E">
                  <w:pPr>
                    <w:jc w:val="center"/>
                    <w:rPr>
                      <w:rFonts w:hint="eastAsia" w:ascii="宋体"/>
                      <w:sz w:val="10"/>
                      <w:szCs w:val="10"/>
                    </w:rPr>
                  </w:pPr>
                </w:p>
              </w:tc>
              <w:tc>
                <w:tcPr>
                  <w:tcW w:w="0" w:type="auto"/>
                  <w:shd w:val="clear" w:color="auto" w:fill="auto"/>
                  <w:vAlign w:val="center"/>
                </w:tcPr>
                <w:p w14:paraId="42F5AC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38AAB43D">
                  <w:pPr>
                    <w:jc w:val="center"/>
                    <w:rPr>
                      <w:rFonts w:hint="eastAsia" w:ascii="宋体"/>
                      <w:sz w:val="10"/>
                      <w:szCs w:val="10"/>
                    </w:rPr>
                  </w:pPr>
                </w:p>
              </w:tc>
              <w:tc>
                <w:tcPr>
                  <w:tcW w:w="860" w:type="dxa"/>
                  <w:shd w:val="clear" w:color="auto" w:fill="auto"/>
                  <w:vAlign w:val="center"/>
                </w:tcPr>
                <w:p w14:paraId="43BD0B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39FAB8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75AB313">
                  <w:pPr>
                    <w:jc w:val="center"/>
                    <w:rPr>
                      <w:rFonts w:hint="eastAsia" w:ascii="宋体"/>
                      <w:sz w:val="10"/>
                      <w:szCs w:val="10"/>
                    </w:rPr>
                  </w:pPr>
                </w:p>
              </w:tc>
              <w:tc>
                <w:tcPr>
                  <w:tcW w:w="0" w:type="auto"/>
                  <w:shd w:val="clear" w:color="auto" w:fill="auto"/>
                  <w:vAlign w:val="center"/>
                </w:tcPr>
                <w:p w14:paraId="048A9F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40A8CE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512722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61A4B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1A718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1492A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C228B77">
                  <w:pPr>
                    <w:jc w:val="center"/>
                    <w:rPr>
                      <w:rFonts w:hint="eastAsia" w:ascii="宋体"/>
                      <w:sz w:val="10"/>
                      <w:szCs w:val="10"/>
                    </w:rPr>
                  </w:pPr>
                </w:p>
              </w:tc>
            </w:tr>
            <w:tr w14:paraId="0E87FCF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C2C0F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689D7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14学分 </w:t>
                  </w:r>
                </w:p>
              </w:tc>
              <w:tc>
                <w:tcPr>
                  <w:tcW w:w="0" w:type="auto"/>
                  <w:shd w:val="clear" w:color="auto" w:fill="auto"/>
                  <w:vAlign w:val="center"/>
                </w:tcPr>
                <w:p w14:paraId="0CB37E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402162001</w:t>
                  </w:r>
                </w:p>
              </w:tc>
              <w:tc>
                <w:tcPr>
                  <w:tcW w:w="0" w:type="auto"/>
                  <w:shd w:val="clear" w:color="auto" w:fill="auto"/>
                  <w:vAlign w:val="center"/>
                </w:tcPr>
                <w:p w14:paraId="0AFCC9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6EBB2A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EC5B0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AA81B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200A76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10C92A6">
                  <w:pPr>
                    <w:jc w:val="center"/>
                    <w:rPr>
                      <w:rFonts w:hint="eastAsia" w:ascii="宋体"/>
                      <w:sz w:val="10"/>
                      <w:szCs w:val="10"/>
                    </w:rPr>
                  </w:pPr>
                </w:p>
              </w:tc>
            </w:tr>
            <w:tr w14:paraId="5292C4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A4D9ACF">
                  <w:pPr>
                    <w:jc w:val="center"/>
                    <w:rPr>
                      <w:rFonts w:hint="eastAsia" w:ascii="宋体"/>
                      <w:sz w:val="10"/>
                      <w:szCs w:val="10"/>
                    </w:rPr>
                  </w:pPr>
                </w:p>
              </w:tc>
              <w:tc>
                <w:tcPr>
                  <w:tcW w:w="0" w:type="auto"/>
                  <w:shd w:val="clear" w:color="auto" w:fill="auto"/>
                  <w:vAlign w:val="center"/>
                </w:tcPr>
                <w:p w14:paraId="2EDAF4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402162002</w:t>
                  </w:r>
                </w:p>
              </w:tc>
              <w:tc>
                <w:tcPr>
                  <w:tcW w:w="0" w:type="auto"/>
                  <w:shd w:val="clear" w:color="auto" w:fill="auto"/>
                  <w:vAlign w:val="center"/>
                </w:tcPr>
                <w:p w14:paraId="2B67CB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微电子制造工艺II（半导体工程学） </w:t>
                  </w:r>
                </w:p>
              </w:tc>
              <w:tc>
                <w:tcPr>
                  <w:tcW w:w="0" w:type="auto"/>
                  <w:shd w:val="clear" w:color="auto" w:fill="auto"/>
                  <w:vAlign w:val="center"/>
                </w:tcPr>
                <w:p w14:paraId="78DC2F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5BCAA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CF863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2F08CE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05AEA41">
                  <w:pPr>
                    <w:jc w:val="center"/>
                    <w:rPr>
                      <w:rFonts w:hint="eastAsia" w:ascii="宋体"/>
                      <w:sz w:val="10"/>
                      <w:szCs w:val="10"/>
                    </w:rPr>
                  </w:pPr>
                </w:p>
              </w:tc>
            </w:tr>
            <w:tr w14:paraId="636CE7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4B659BB">
                  <w:pPr>
                    <w:jc w:val="center"/>
                    <w:rPr>
                      <w:rFonts w:hint="eastAsia" w:ascii="宋体"/>
                      <w:sz w:val="10"/>
                      <w:szCs w:val="10"/>
                    </w:rPr>
                  </w:pPr>
                </w:p>
              </w:tc>
              <w:tc>
                <w:tcPr>
                  <w:tcW w:w="0" w:type="auto"/>
                  <w:shd w:val="clear" w:color="auto" w:fill="auto"/>
                  <w:vAlign w:val="center"/>
                </w:tcPr>
                <w:p w14:paraId="123A30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402162003</w:t>
                  </w:r>
                </w:p>
              </w:tc>
              <w:tc>
                <w:tcPr>
                  <w:tcW w:w="0" w:type="auto"/>
                  <w:shd w:val="clear" w:color="auto" w:fill="auto"/>
                  <w:vAlign w:val="center"/>
                </w:tcPr>
                <w:p w14:paraId="4366EE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4DB286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15B03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7FE61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C342C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EE5CADF">
                  <w:pPr>
                    <w:jc w:val="center"/>
                    <w:rPr>
                      <w:rFonts w:hint="eastAsia" w:ascii="宋体"/>
                      <w:sz w:val="10"/>
                      <w:szCs w:val="10"/>
                    </w:rPr>
                  </w:pPr>
                </w:p>
              </w:tc>
            </w:tr>
            <w:tr w14:paraId="1A4F05E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B7162FF">
                  <w:pPr>
                    <w:jc w:val="center"/>
                    <w:rPr>
                      <w:rFonts w:hint="eastAsia" w:ascii="宋体"/>
                      <w:sz w:val="10"/>
                      <w:szCs w:val="10"/>
                    </w:rPr>
                  </w:pPr>
                </w:p>
              </w:tc>
              <w:tc>
                <w:tcPr>
                  <w:tcW w:w="0" w:type="auto"/>
                  <w:shd w:val="clear" w:color="auto" w:fill="auto"/>
                  <w:vAlign w:val="center"/>
                </w:tcPr>
                <w:p w14:paraId="603170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402162004</w:t>
                  </w:r>
                </w:p>
              </w:tc>
              <w:tc>
                <w:tcPr>
                  <w:tcW w:w="0" w:type="auto"/>
                  <w:shd w:val="clear" w:color="auto" w:fill="auto"/>
                  <w:vAlign w:val="center"/>
                </w:tcPr>
                <w:p w14:paraId="5B8106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半导体器件的数值分析与模拟 </w:t>
                  </w:r>
                </w:p>
              </w:tc>
              <w:tc>
                <w:tcPr>
                  <w:tcW w:w="0" w:type="auto"/>
                  <w:shd w:val="clear" w:color="auto" w:fill="auto"/>
                  <w:vAlign w:val="center"/>
                </w:tcPr>
                <w:p w14:paraId="54B56A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B6002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A32B6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A7DD9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113B1C9">
                  <w:pPr>
                    <w:jc w:val="center"/>
                    <w:rPr>
                      <w:rFonts w:hint="eastAsia" w:ascii="宋体"/>
                      <w:sz w:val="10"/>
                      <w:szCs w:val="10"/>
                    </w:rPr>
                  </w:pPr>
                </w:p>
              </w:tc>
            </w:tr>
            <w:tr w14:paraId="4D8F61B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BBF13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5CBD42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tc>
              <w:tc>
                <w:tcPr>
                  <w:tcW w:w="0" w:type="auto"/>
                  <w:shd w:val="clear" w:color="auto" w:fill="auto"/>
                  <w:vAlign w:val="center"/>
                </w:tcPr>
                <w:p w14:paraId="2E343F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402172016</w:t>
                  </w:r>
                </w:p>
              </w:tc>
              <w:tc>
                <w:tcPr>
                  <w:tcW w:w="0" w:type="auto"/>
                  <w:shd w:val="clear" w:color="auto" w:fill="auto"/>
                  <w:vAlign w:val="center"/>
                </w:tcPr>
                <w:p w14:paraId="27CC4C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005A3C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C3A76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A73A4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1BFBA1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1CECFB3">
                  <w:pPr>
                    <w:jc w:val="center"/>
                    <w:rPr>
                      <w:rFonts w:hint="eastAsia" w:ascii="宋体"/>
                      <w:sz w:val="10"/>
                      <w:szCs w:val="10"/>
                    </w:rPr>
                  </w:pPr>
                </w:p>
              </w:tc>
            </w:tr>
            <w:tr w14:paraId="77DFC3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F291AA2">
                  <w:pPr>
                    <w:jc w:val="center"/>
                    <w:rPr>
                      <w:rFonts w:hint="eastAsia" w:ascii="宋体"/>
                      <w:sz w:val="10"/>
                      <w:szCs w:val="10"/>
                    </w:rPr>
                  </w:pPr>
                </w:p>
              </w:tc>
              <w:tc>
                <w:tcPr>
                  <w:tcW w:w="0" w:type="auto"/>
                  <w:shd w:val="clear" w:color="auto" w:fill="auto"/>
                  <w:vAlign w:val="center"/>
                </w:tcPr>
                <w:p w14:paraId="32A496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402172012</w:t>
                  </w:r>
                </w:p>
              </w:tc>
              <w:tc>
                <w:tcPr>
                  <w:tcW w:w="0" w:type="auto"/>
                  <w:shd w:val="clear" w:color="auto" w:fill="auto"/>
                  <w:vAlign w:val="center"/>
                </w:tcPr>
                <w:p w14:paraId="6580FA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4ACCD8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DA8E9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2EE9D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168C3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70260D4">
                  <w:pPr>
                    <w:jc w:val="center"/>
                    <w:rPr>
                      <w:rFonts w:hint="eastAsia" w:ascii="宋体"/>
                      <w:sz w:val="10"/>
                      <w:szCs w:val="10"/>
                    </w:rPr>
                  </w:pPr>
                </w:p>
              </w:tc>
            </w:tr>
            <w:tr w14:paraId="602642B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994007B">
                  <w:pPr>
                    <w:jc w:val="center"/>
                    <w:rPr>
                      <w:rFonts w:hint="eastAsia" w:ascii="宋体"/>
                      <w:sz w:val="10"/>
                      <w:szCs w:val="10"/>
                    </w:rPr>
                  </w:pPr>
                </w:p>
              </w:tc>
              <w:tc>
                <w:tcPr>
                  <w:tcW w:w="0" w:type="auto"/>
                  <w:shd w:val="clear" w:color="auto" w:fill="auto"/>
                  <w:vAlign w:val="center"/>
                </w:tcPr>
                <w:p w14:paraId="0BEC8B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402172013</w:t>
                  </w:r>
                </w:p>
              </w:tc>
              <w:tc>
                <w:tcPr>
                  <w:tcW w:w="0" w:type="auto"/>
                  <w:shd w:val="clear" w:color="auto" w:fill="auto"/>
                  <w:vAlign w:val="center"/>
                </w:tcPr>
                <w:p w14:paraId="528265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数字集成电路设计II</w:t>
                  </w:r>
                </w:p>
              </w:tc>
              <w:tc>
                <w:tcPr>
                  <w:tcW w:w="0" w:type="auto"/>
                  <w:shd w:val="clear" w:color="auto" w:fill="auto"/>
                  <w:vAlign w:val="center"/>
                </w:tcPr>
                <w:p w14:paraId="7F5182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78ABE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30C65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56426E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E9EA059">
                  <w:pPr>
                    <w:jc w:val="center"/>
                    <w:rPr>
                      <w:rFonts w:hint="eastAsia" w:ascii="宋体"/>
                      <w:sz w:val="10"/>
                      <w:szCs w:val="10"/>
                    </w:rPr>
                  </w:pPr>
                </w:p>
              </w:tc>
            </w:tr>
            <w:tr w14:paraId="00D04D8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F6EDE19">
                  <w:pPr>
                    <w:jc w:val="center"/>
                    <w:rPr>
                      <w:rFonts w:hint="eastAsia" w:ascii="宋体"/>
                      <w:sz w:val="10"/>
                      <w:szCs w:val="10"/>
                    </w:rPr>
                  </w:pPr>
                </w:p>
              </w:tc>
              <w:tc>
                <w:tcPr>
                  <w:tcW w:w="0" w:type="auto"/>
                  <w:shd w:val="clear" w:color="auto" w:fill="auto"/>
                  <w:vAlign w:val="center"/>
                </w:tcPr>
                <w:p w14:paraId="2713C7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402172015</w:t>
                  </w:r>
                </w:p>
              </w:tc>
              <w:tc>
                <w:tcPr>
                  <w:tcW w:w="0" w:type="auto"/>
                  <w:shd w:val="clear" w:color="auto" w:fill="auto"/>
                  <w:vAlign w:val="center"/>
                </w:tcPr>
                <w:p w14:paraId="20E805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5C4DE7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82AC1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8314C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5C477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7272E2C">
                  <w:pPr>
                    <w:jc w:val="center"/>
                    <w:rPr>
                      <w:rFonts w:hint="eastAsia" w:ascii="宋体"/>
                      <w:sz w:val="10"/>
                      <w:szCs w:val="10"/>
                    </w:rPr>
                  </w:pPr>
                </w:p>
              </w:tc>
            </w:tr>
            <w:tr w14:paraId="01526E2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CD4BFA1">
                  <w:pPr>
                    <w:jc w:val="center"/>
                    <w:rPr>
                      <w:rFonts w:hint="eastAsia" w:ascii="宋体"/>
                      <w:sz w:val="10"/>
                      <w:szCs w:val="10"/>
                    </w:rPr>
                  </w:pPr>
                </w:p>
              </w:tc>
              <w:tc>
                <w:tcPr>
                  <w:tcW w:w="0" w:type="auto"/>
                  <w:shd w:val="clear" w:color="auto" w:fill="auto"/>
                  <w:vAlign w:val="center"/>
                </w:tcPr>
                <w:p w14:paraId="6FB810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402172011</w:t>
                  </w:r>
                </w:p>
              </w:tc>
              <w:tc>
                <w:tcPr>
                  <w:tcW w:w="0" w:type="auto"/>
                  <w:shd w:val="clear" w:color="auto" w:fill="auto"/>
                  <w:vAlign w:val="center"/>
                </w:tcPr>
                <w:p w14:paraId="1457FA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有机电子学</w:t>
                  </w:r>
                </w:p>
              </w:tc>
              <w:tc>
                <w:tcPr>
                  <w:tcW w:w="0" w:type="auto"/>
                  <w:shd w:val="clear" w:color="auto" w:fill="auto"/>
                  <w:vAlign w:val="center"/>
                </w:tcPr>
                <w:p w14:paraId="719DB3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538C7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2F5E5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DF68E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E5274A3">
                  <w:pPr>
                    <w:jc w:val="center"/>
                    <w:rPr>
                      <w:rFonts w:hint="eastAsia" w:ascii="宋体"/>
                      <w:sz w:val="10"/>
                      <w:szCs w:val="10"/>
                    </w:rPr>
                  </w:pPr>
                </w:p>
              </w:tc>
            </w:tr>
            <w:tr w14:paraId="27DE64C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861A8B4">
                  <w:pPr>
                    <w:jc w:val="center"/>
                    <w:rPr>
                      <w:rFonts w:hint="eastAsia" w:ascii="宋体"/>
                      <w:sz w:val="10"/>
                      <w:szCs w:val="10"/>
                    </w:rPr>
                  </w:pPr>
                </w:p>
              </w:tc>
              <w:tc>
                <w:tcPr>
                  <w:tcW w:w="0" w:type="auto"/>
                  <w:shd w:val="clear" w:color="auto" w:fill="auto"/>
                  <w:vAlign w:val="center"/>
                </w:tcPr>
                <w:p w14:paraId="2A4039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402172017</w:t>
                  </w:r>
                </w:p>
              </w:tc>
              <w:tc>
                <w:tcPr>
                  <w:tcW w:w="0" w:type="auto"/>
                  <w:shd w:val="clear" w:color="auto" w:fill="auto"/>
                  <w:vAlign w:val="center"/>
                </w:tcPr>
                <w:p w14:paraId="04D058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微电子科学与工程概览 </w:t>
                  </w:r>
                </w:p>
              </w:tc>
              <w:tc>
                <w:tcPr>
                  <w:tcW w:w="0" w:type="auto"/>
                  <w:shd w:val="clear" w:color="auto" w:fill="auto"/>
                  <w:vAlign w:val="center"/>
                </w:tcPr>
                <w:p w14:paraId="153AFF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13201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990D9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9E260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6FDE3BC">
                  <w:pPr>
                    <w:jc w:val="center"/>
                    <w:rPr>
                      <w:rFonts w:hint="eastAsia" w:ascii="宋体"/>
                      <w:sz w:val="10"/>
                      <w:szCs w:val="10"/>
                    </w:rPr>
                  </w:pPr>
                </w:p>
              </w:tc>
            </w:tr>
            <w:tr w14:paraId="459F8F9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288D07A">
                  <w:pPr>
                    <w:jc w:val="center"/>
                    <w:rPr>
                      <w:rFonts w:hint="eastAsia" w:ascii="宋体"/>
                      <w:sz w:val="10"/>
                      <w:szCs w:val="10"/>
                    </w:rPr>
                  </w:pPr>
                </w:p>
              </w:tc>
              <w:tc>
                <w:tcPr>
                  <w:tcW w:w="0" w:type="auto"/>
                  <w:shd w:val="clear" w:color="auto" w:fill="auto"/>
                  <w:vAlign w:val="center"/>
                </w:tcPr>
                <w:p w14:paraId="2DEF3F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402172001</w:t>
                  </w:r>
                </w:p>
              </w:tc>
              <w:tc>
                <w:tcPr>
                  <w:tcW w:w="0" w:type="auto"/>
                  <w:shd w:val="clear" w:color="auto" w:fill="auto"/>
                  <w:vAlign w:val="center"/>
                </w:tcPr>
                <w:p w14:paraId="604B63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集成电路计算机辅助设计（ICCAD）</w:t>
                  </w:r>
                </w:p>
              </w:tc>
              <w:tc>
                <w:tcPr>
                  <w:tcW w:w="0" w:type="auto"/>
                  <w:shd w:val="clear" w:color="auto" w:fill="auto"/>
                  <w:vAlign w:val="center"/>
                </w:tcPr>
                <w:p w14:paraId="0B894B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D803F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C32C6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41743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AA18C3C">
                  <w:pPr>
                    <w:jc w:val="center"/>
                    <w:rPr>
                      <w:rFonts w:hint="eastAsia" w:ascii="宋体"/>
                      <w:sz w:val="10"/>
                      <w:szCs w:val="10"/>
                    </w:rPr>
                  </w:pPr>
                </w:p>
              </w:tc>
            </w:tr>
            <w:tr w14:paraId="2431C5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3A51BFA">
                  <w:pPr>
                    <w:jc w:val="center"/>
                    <w:rPr>
                      <w:rFonts w:hint="eastAsia" w:ascii="宋体"/>
                      <w:sz w:val="10"/>
                      <w:szCs w:val="10"/>
                    </w:rPr>
                  </w:pPr>
                </w:p>
              </w:tc>
              <w:tc>
                <w:tcPr>
                  <w:tcW w:w="0" w:type="auto"/>
                  <w:shd w:val="clear" w:color="auto" w:fill="auto"/>
                  <w:vAlign w:val="center"/>
                </w:tcPr>
                <w:p w14:paraId="4DCCC2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402172023</w:t>
                  </w:r>
                </w:p>
              </w:tc>
              <w:tc>
                <w:tcPr>
                  <w:tcW w:w="0" w:type="auto"/>
                  <w:shd w:val="clear" w:color="auto" w:fill="auto"/>
                  <w:vAlign w:val="center"/>
                </w:tcPr>
                <w:p w14:paraId="077C8C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集成电路设计基础与工程实践</w:t>
                  </w:r>
                </w:p>
              </w:tc>
              <w:tc>
                <w:tcPr>
                  <w:tcW w:w="0" w:type="auto"/>
                  <w:shd w:val="clear" w:color="auto" w:fill="auto"/>
                  <w:vAlign w:val="center"/>
                </w:tcPr>
                <w:p w14:paraId="777A0B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89E3B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06606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141022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52CD861">
                  <w:pPr>
                    <w:jc w:val="center"/>
                    <w:rPr>
                      <w:rFonts w:hint="eastAsia" w:ascii="宋体"/>
                      <w:sz w:val="10"/>
                      <w:szCs w:val="10"/>
                    </w:rPr>
                  </w:pPr>
                </w:p>
              </w:tc>
            </w:tr>
          </w:tbl>
          <w:p w14:paraId="2D45DAAB">
            <w:pPr>
              <w:jc w:val="center"/>
            </w:pPr>
          </w:p>
        </w:tc>
      </w:tr>
      <w:tr w14:paraId="7394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4D49316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7288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0081D3B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F11808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5C691E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1689FFB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7015353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BAFC72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1D495A6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38451F2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4033C2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655115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756A35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5FF1D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该环节是所有专业学位研究生确定学位论文选题、提出研究计划的必修环节。所有研究生均须参加开题并通过。研究生的开题报告要求最晚在中期考核前完成。 研究生的开题报告应在本学科或相关学科范围内以答辩形式公开进行，由相关学科专家对开题报告进行综合评估，就课题的研究工作提出具体意见和建议。开题报告未通过者，必须重新开题。开题报告通过后正式进入学位论文阶段。</w:t>
                  </w:r>
                </w:p>
              </w:tc>
              <w:tc>
                <w:tcPr>
                  <w:tcW w:w="0" w:type="auto"/>
                  <w:shd w:val="clear" w:color="auto" w:fill="auto"/>
                  <w:vAlign w:val="center"/>
                </w:tcPr>
                <w:p w14:paraId="29F5A2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1BCB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6BB70E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5D2A88A">
                  <w:pPr>
                    <w:jc w:val="center"/>
                    <w:rPr>
                      <w:rFonts w:hint="eastAsia" w:ascii="宋体"/>
                      <w:sz w:val="10"/>
                      <w:szCs w:val="10"/>
                    </w:rPr>
                  </w:pPr>
                </w:p>
              </w:tc>
              <w:tc>
                <w:tcPr>
                  <w:tcW w:w="0" w:type="auto"/>
                  <w:shd w:val="clear" w:color="auto" w:fill="auto"/>
                  <w:vAlign w:val="center"/>
                </w:tcPr>
                <w:p w14:paraId="04217B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5A7D5B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35C6B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 xml:space="preserve">中期考核是全体专业学位研究生的必修环节，旨在对照培养方案的要求，从德、智、体、美、劳各方面对研究生的学业进展、学习能力、论文进展、日常表现等进行全面检查，并对其后续学业安排提出意见、建议和要求。 所有研究生必须参加中期考核，要求最晚于入学后第四学期完成。中期考核通过者，方可申请学位论文答辩。 </w:t>
                  </w:r>
                </w:p>
              </w:tc>
              <w:tc>
                <w:tcPr>
                  <w:tcW w:w="0" w:type="auto"/>
                  <w:shd w:val="clear" w:color="auto" w:fill="auto"/>
                  <w:vAlign w:val="center"/>
                </w:tcPr>
                <w:p w14:paraId="1A37E8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3DCF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最迟于第四学期完成</w:t>
                  </w:r>
                </w:p>
              </w:tc>
            </w:tr>
            <w:tr w14:paraId="359F41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CDC8541">
                  <w:pPr>
                    <w:jc w:val="center"/>
                    <w:rPr>
                      <w:rFonts w:hint="eastAsia" w:ascii="宋体"/>
                      <w:sz w:val="10"/>
                      <w:szCs w:val="10"/>
                    </w:rPr>
                  </w:pPr>
                </w:p>
              </w:tc>
              <w:tc>
                <w:tcPr>
                  <w:tcW w:w="0" w:type="auto"/>
                  <w:shd w:val="clear" w:color="auto" w:fill="auto"/>
                  <w:vAlign w:val="center"/>
                </w:tcPr>
                <w:p w14:paraId="286446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77486D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1FA0F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硕士研究生是否参加预答辩由导师自行决定。</w:t>
                  </w:r>
                </w:p>
              </w:tc>
              <w:tc>
                <w:tcPr>
                  <w:tcW w:w="0" w:type="auto"/>
                  <w:shd w:val="clear" w:color="auto" w:fill="auto"/>
                  <w:vAlign w:val="center"/>
                </w:tcPr>
                <w:p w14:paraId="190B7A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3992EBB">
                  <w:pPr>
                    <w:jc w:val="center"/>
                    <w:rPr>
                      <w:rFonts w:hint="eastAsia" w:ascii="宋体"/>
                      <w:sz w:val="10"/>
                      <w:szCs w:val="10"/>
                    </w:rPr>
                  </w:pPr>
                </w:p>
              </w:tc>
            </w:tr>
            <w:tr w14:paraId="439EFC6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8421B68">
                  <w:pPr>
                    <w:jc w:val="center"/>
                    <w:rPr>
                      <w:rFonts w:hint="eastAsia" w:ascii="宋体"/>
                      <w:sz w:val="10"/>
                      <w:szCs w:val="10"/>
                    </w:rPr>
                  </w:pPr>
                </w:p>
              </w:tc>
              <w:tc>
                <w:tcPr>
                  <w:tcW w:w="0" w:type="auto"/>
                  <w:shd w:val="clear" w:color="auto" w:fill="auto"/>
                  <w:vAlign w:val="center"/>
                </w:tcPr>
                <w:p w14:paraId="658C99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55944A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36624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全体专业学位研究生的必修环节。根据集成电路工程领域的实践特点、毕业论文实际需要，专业实践的时间、地点、方式因人而异。时间为六个月至一年半，安排在第3学期至第5学期。地点安排在集成电路设计、研发、生产相关的公司、科研院所、企业等实习单位进行。可参加集中实践、分段实践等形式的专业实践活动。需撰写专业实践报告，实践成果能够反映集成电路工程类硕士专业学位研究生在集成电路工程能力和工程素养方面取得的成效。</w:t>
                  </w:r>
                </w:p>
              </w:tc>
              <w:tc>
                <w:tcPr>
                  <w:tcW w:w="0" w:type="auto"/>
                  <w:shd w:val="clear" w:color="auto" w:fill="auto"/>
                  <w:vAlign w:val="center"/>
                </w:tcPr>
                <w:p w14:paraId="1701CD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386C03E8">
                  <w:pPr>
                    <w:jc w:val="center"/>
                    <w:rPr>
                      <w:rFonts w:hint="eastAsia" w:ascii="宋体"/>
                      <w:sz w:val="10"/>
                      <w:szCs w:val="10"/>
                    </w:rPr>
                  </w:pPr>
                </w:p>
              </w:tc>
            </w:tr>
          </w:tbl>
          <w:p w14:paraId="7B6FBCA5">
            <w:pPr>
              <w:jc w:val="center"/>
            </w:pPr>
          </w:p>
        </w:tc>
      </w:tr>
      <w:tr w14:paraId="1C46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4EE9000">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6D26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71D2B7E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25C60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5E546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3FFB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130F6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C0C9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1BC26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574AF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AEE5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2BC4A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C6DE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0B7AF85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30800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35027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5F574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3255F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2C72F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60C886B8">
            <w:pPr>
              <w:jc w:val="center"/>
            </w:pPr>
          </w:p>
        </w:tc>
      </w:tr>
    </w:tbl>
    <w:p w14:paraId="770ED824">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47B75342"/>
    <w:rsid w:val="47B7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2024-11-13T03:29:00Z</dcterms:created>
  <dc:creator>keshi</dc:creator>
  <cp:lastModifiedBy>keshi</cp:lastModifiedBy>
  <dcterms:modified xsi:type="dcterms:W3CDTF">2024-11-13T03:29:36Z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3C2912CA77664C2DB7C1738A83D81213_11</vt:lpwstr>
  </property>
</Properties>
</file>