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87C2">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rPr>
        <w:t>材料与化工专业学位研究生培养方案(非全日制博士)</w:t>
      </w:r>
    </w:p>
    <w:bookmarkEnd w:id="0"/>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73"/>
        <w:gridCol w:w="2576"/>
        <w:gridCol w:w="1079"/>
        <w:gridCol w:w="2622"/>
      </w:tblGrid>
      <w:tr w14:paraId="2533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532CE5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09D0C3C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材料与能源学院、化学化工学院</w:t>
            </w:r>
          </w:p>
        </w:tc>
        <w:tc>
          <w:tcPr>
            <w:tcW w:w="960" w:type="dxa"/>
            <w:shd w:val="clear" w:color="auto" w:fill="auto"/>
            <w:vAlign w:val="center"/>
          </w:tcPr>
          <w:p w14:paraId="7131708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21680A0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(0856)材料与化工</w:t>
            </w:r>
          </w:p>
        </w:tc>
      </w:tr>
      <w:tr w14:paraId="2E21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69FA8B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5C78879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非全日制</w:t>
            </w:r>
          </w:p>
        </w:tc>
        <w:tc>
          <w:tcPr>
            <w:tcW w:w="0" w:type="auto"/>
            <w:shd w:val="clear" w:color="auto" w:fill="auto"/>
            <w:vAlign w:val="center"/>
          </w:tcPr>
          <w:p w14:paraId="0E6C17A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6D9CB82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2024</w:t>
            </w:r>
          </w:p>
        </w:tc>
      </w:tr>
      <w:tr w14:paraId="06C5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F0249C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53C3A12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(085600)材料与化工;(085601)材料工程;(085602)化学工程;</w:t>
            </w:r>
          </w:p>
        </w:tc>
      </w:tr>
      <w:tr w14:paraId="5D7E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FE47A8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67"/>
              <w:gridCol w:w="1200"/>
              <w:gridCol w:w="960"/>
              <w:gridCol w:w="960"/>
            </w:tblGrid>
            <w:tr w14:paraId="23F2A8C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4649EF6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79D9879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2F110DB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5F17013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1285A63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381CF39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6AF7391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2BD0920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4DD1229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52547F2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1E74AC1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14</w:t>
                  </w:r>
                </w:p>
              </w:tc>
              <w:tc>
                <w:tcPr>
                  <w:tcW w:w="0" w:type="auto"/>
                  <w:shd w:val="clear" w:color="auto" w:fill="auto"/>
                  <w:vAlign w:val="center"/>
                </w:tcPr>
                <w:p w14:paraId="49B38B0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1F7DB6E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w:t>
                  </w:r>
                </w:p>
              </w:tc>
            </w:tr>
          </w:tbl>
          <w:p w14:paraId="0ECCE8F3">
            <w:pPr>
              <w:jc w:val="center"/>
            </w:pPr>
          </w:p>
        </w:tc>
      </w:tr>
      <w:tr w14:paraId="4C48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8D3755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08EE4899">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专业人才。拥护党的基本路线和方针政策，热爱祖国，遵纪守法，具有良好的职业道德和敬业精神，具有科学严谨和求真务实的学习态度和工作作风，具有鲜明的伦理精神和浓郁的民族情怀，有高远的理想追求和强烈的时代特色，具有敏锐的世界眼光，有突出的实践品格，身心健康。</w:t>
            </w:r>
          </w:p>
        </w:tc>
      </w:tr>
      <w:tr w14:paraId="1F5B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98BB29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22DCB7BE">
            <w:pPr>
              <w:pStyle w:val="3"/>
              <w:keepNext w:val="0"/>
              <w:keepLines w:val="0"/>
              <w:widowControl/>
              <w:suppressLineNumbers w:val="0"/>
              <w:spacing w:line="300" w:lineRule="atLeast"/>
              <w:jc w:val="both"/>
            </w:pPr>
            <w:r>
              <w:t xml:space="preserve">       学位授权点面向经济社会发展和行业创新发展需求，培养具有材料与化工领域坚实基础理论和宽广专业知识，掌握解决材料与化工领域实际问题的先进技术与方法，具有创新意识，能独立进行材料与化工方向技术研发、材料创新、工程设计、运行和管理的高层次应用型、复合型高层次工程技术和工程管理人才，以便更好地服务于材料与化工领域专业学位博士研究生的职业发展需求和社会的多元化人才需求</w:t>
            </w:r>
          </w:p>
          <w:p w14:paraId="6A6607A8">
            <w:pPr>
              <w:pStyle w:val="3"/>
              <w:keepNext w:val="0"/>
              <w:keepLines w:val="0"/>
              <w:widowControl/>
              <w:suppressLineNumbers w:val="0"/>
              <w:spacing w:line="300" w:lineRule="atLeast"/>
              <w:jc w:val="both"/>
            </w:pPr>
            <w:r>
              <w:t xml:space="preserve">       培养具有高度社会责任感和良好道德修养、学术品德，掌握本学科基础理论和系统的专门知识，具备较强的创新精神和团队合作精神以及较宽的国际视野，身心健康，能在现代化工等行业或相关领域中从事科研开发、教育、管理等工作的高层次人才。</w:t>
            </w:r>
          </w:p>
        </w:tc>
      </w:tr>
      <w:tr w14:paraId="6685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F7C883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456ACC9F">
            <w:pPr>
              <w:pStyle w:val="3"/>
              <w:keepNext w:val="0"/>
              <w:keepLines w:val="0"/>
              <w:widowControl/>
              <w:suppressLineNumbers w:val="0"/>
              <w:spacing w:line="300" w:lineRule="atLeast"/>
              <w:jc w:val="both"/>
            </w:pPr>
            <w:r>
              <w:t xml:space="preserve">1、催化剂与催化反应工程  </w:t>
            </w:r>
          </w:p>
          <w:p w14:paraId="00DB381D">
            <w:pPr>
              <w:pStyle w:val="3"/>
              <w:keepNext w:val="0"/>
              <w:keepLines w:val="0"/>
              <w:widowControl/>
              <w:suppressLineNumbers w:val="0"/>
              <w:spacing w:line="300" w:lineRule="atLeast"/>
              <w:jc w:val="both"/>
            </w:pPr>
            <w:r>
              <w:t xml:space="preserve">2、稀土分离工程与功能材料 </w:t>
            </w:r>
          </w:p>
          <w:p w14:paraId="6B7B1E61">
            <w:pPr>
              <w:pStyle w:val="3"/>
              <w:keepNext w:val="0"/>
              <w:keepLines w:val="0"/>
              <w:widowControl/>
              <w:suppressLineNumbers w:val="0"/>
              <w:spacing w:line="300" w:lineRule="atLeast"/>
              <w:jc w:val="both"/>
            </w:pPr>
            <w:r>
              <w:t>3、有机功能材料工程</w:t>
            </w:r>
          </w:p>
          <w:p w14:paraId="2A4B0665">
            <w:pPr>
              <w:pStyle w:val="3"/>
              <w:keepNext w:val="0"/>
              <w:keepLines w:val="0"/>
              <w:widowControl/>
              <w:suppressLineNumbers w:val="0"/>
              <w:spacing w:line="300" w:lineRule="atLeast"/>
              <w:jc w:val="both"/>
            </w:pPr>
            <w:r>
              <w:t xml:space="preserve">4、新能源材料与器件 </w:t>
            </w:r>
          </w:p>
          <w:p w14:paraId="5E1CCB71">
            <w:pPr>
              <w:pStyle w:val="3"/>
              <w:keepNext w:val="0"/>
              <w:keepLines w:val="0"/>
              <w:widowControl/>
              <w:suppressLineNumbers w:val="0"/>
              <w:spacing w:line="300" w:lineRule="atLeast"/>
              <w:jc w:val="both"/>
            </w:pPr>
            <w:r>
              <w:t xml:space="preserve"> 5、先进结构与功能材料</w:t>
            </w:r>
          </w:p>
        </w:tc>
      </w:tr>
      <w:tr w14:paraId="0E0C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0C4F3E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10DCBF60">
            <w:pPr>
              <w:pStyle w:val="3"/>
              <w:keepNext w:val="0"/>
              <w:keepLines w:val="0"/>
              <w:widowControl/>
              <w:suppressLineNumbers w:val="0"/>
              <w:spacing w:line="300" w:lineRule="atLeast"/>
              <w:jc w:val="both"/>
            </w:pPr>
            <w:r>
              <w:t>1、采用课程学习、专业实践和学位论文相结合的培养方式</w:t>
            </w:r>
          </w:p>
          <w:p w14:paraId="51374B28">
            <w:pPr>
              <w:pStyle w:val="3"/>
              <w:keepNext w:val="0"/>
              <w:keepLines w:val="0"/>
              <w:widowControl/>
              <w:suppressLineNumbers w:val="0"/>
              <w:spacing w:line="300" w:lineRule="atLeast"/>
              <w:jc w:val="both"/>
            </w:pPr>
            <w:r>
              <w:t xml:space="preserve">       课程学习是专业博士学位研究生掌握基础理论和专业知识，构建知识结构的主要途径。本学科课程设置以培养专业博士研究生知识结构先进性、模块化、复合性、工程性和创新性为原则，以工程需求为导向，以满足社会多元化需求和学生个性化培养的要求为目标，课程教学采用在线教学、案例教学和实践教学等多种教学模式，重点突出对学生专业基础、工程能力和职业发展潜力的综合培养</w:t>
            </w:r>
          </w:p>
          <w:p w14:paraId="1E819C0E">
            <w:pPr>
              <w:pStyle w:val="3"/>
              <w:keepNext w:val="0"/>
              <w:keepLines w:val="0"/>
              <w:widowControl/>
              <w:suppressLineNumbers w:val="0"/>
              <w:spacing w:line="300" w:lineRule="atLeast"/>
              <w:jc w:val="both"/>
            </w:pPr>
            <w:r>
              <w:t>课程学习须按照培养计划严格执行，其中公共课程、专业基础课程和选修课程主要在培养单位集中学习，校企联合课程、案例课程以及职业素养课程可在培养单位或企业开展。</w:t>
            </w:r>
          </w:p>
          <w:p w14:paraId="4D4CB212">
            <w:pPr>
              <w:pStyle w:val="3"/>
              <w:keepNext w:val="0"/>
              <w:keepLines w:val="0"/>
              <w:widowControl/>
              <w:suppressLineNumbers w:val="0"/>
              <w:spacing w:line="300" w:lineRule="atLeast"/>
              <w:jc w:val="both"/>
            </w:pPr>
            <w:r>
              <w:t xml:space="preserve">        主要课程的学习应该在学校进行，一般要求在第一学年完成；开题报告一般应于第二学年第一学期（秋季学期）完成；中期考核一般应于第二学年第二学期（春季学期）完成；专业实践一般应于第一、二学年完成，具有2年及以上企业工作经历的专业学位研究生专业实践时间应不少于6个月，不具有2年企业工作经历的专业学位研究生专业实践时间应不少于1年，专业实践教学可采用集中实践与分段实践相结合的方式，但应以集中实践的方式为主；学位论文的撰写、评阅与答辩一般应于第四学年完成。</w:t>
            </w:r>
          </w:p>
          <w:p w14:paraId="000A4B19">
            <w:pPr>
              <w:pStyle w:val="3"/>
              <w:keepNext w:val="0"/>
              <w:keepLines w:val="0"/>
              <w:widowControl/>
              <w:suppressLineNumbers w:val="0"/>
              <w:spacing w:line="300" w:lineRule="atLeast"/>
              <w:jc w:val="both"/>
            </w:pPr>
          </w:p>
          <w:p w14:paraId="793FC075">
            <w:pPr>
              <w:pStyle w:val="3"/>
              <w:keepNext w:val="0"/>
              <w:keepLines w:val="0"/>
              <w:widowControl/>
              <w:suppressLineNumbers w:val="0"/>
              <w:spacing w:line="300" w:lineRule="atLeast"/>
              <w:jc w:val="both"/>
            </w:pPr>
            <w:r>
              <w:t>2、实行校内导师和校外导师联合指导</w:t>
            </w:r>
          </w:p>
          <w:p w14:paraId="3E88A47B">
            <w:pPr>
              <w:pStyle w:val="3"/>
              <w:keepNext w:val="0"/>
              <w:keepLines w:val="0"/>
              <w:widowControl/>
              <w:suppressLineNumbers w:val="0"/>
              <w:spacing w:line="300" w:lineRule="atLeast"/>
              <w:jc w:val="both"/>
            </w:pPr>
            <w:r>
              <w:t xml:space="preserve">        校企联合培养是提高专业学位博士研究生培养质量的有效方式。培养单位应积极开展校企联合培养，充分调动企业积极性，吸收企业优质教育资源参与研究生教育体系，发挥企业在人才培养中的重要作用，推动产学结合、协同育人，提高校企联合培养质量。鼓励培养单位与企业共建联合培养基地，探索合作共赢的长效保障机制和高效的运行管理制度。</w:t>
            </w:r>
          </w:p>
          <w:p w14:paraId="3588A7EE">
            <w:pPr>
              <w:pStyle w:val="3"/>
              <w:keepNext w:val="0"/>
              <w:keepLines w:val="0"/>
              <w:widowControl/>
              <w:suppressLineNumbers w:val="0"/>
              <w:spacing w:line="300" w:lineRule="atLeast"/>
              <w:jc w:val="both"/>
            </w:pPr>
            <w:r>
              <w:t xml:space="preserve">         导师指导是保证专业学位博士研究生培养质量的重要保障。本单位建立以工程能力培养为导向的导师组指导制，加强对专业学位博士研究生培养全过程的指导。导师组由本单位具有较高学术水平和丰富指导经验的教师，以及来自企业具有丰富实际工作经验的材料与化工领域的专家组成。校内导师全面负责研究生课程学习、专业实践和论文写作与答辩等环节，校外导师主要负责对研究生专业实践和实习进行指导。</w:t>
            </w:r>
          </w:p>
        </w:tc>
      </w:tr>
      <w:tr w14:paraId="624A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2B0C43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01AD3755">
            <w:pPr>
              <w:pStyle w:val="3"/>
              <w:keepNext w:val="0"/>
              <w:keepLines w:val="0"/>
              <w:widowControl/>
              <w:suppressLineNumbers w:val="0"/>
              <w:spacing w:line="300" w:lineRule="atLeast"/>
              <w:jc w:val="both"/>
            </w:pPr>
            <w:r>
              <w:t xml:space="preserve">       学位论文工作是研究生培养的重要组成部分，是研究生培养质量的重要标志，研究生应在导师指导下独立完成学位论文，学位论文必须达到《兰州大学各学科研究生在学期间完成科研成果的基本要求》。</w:t>
            </w:r>
          </w:p>
          <w:p w14:paraId="03E73B5A">
            <w:pPr>
              <w:pStyle w:val="3"/>
              <w:keepNext w:val="0"/>
              <w:keepLines w:val="0"/>
              <w:widowControl/>
              <w:suppressLineNumbers w:val="0"/>
              <w:spacing w:line="300" w:lineRule="atLeast"/>
              <w:jc w:val="both"/>
            </w:pPr>
            <w:r>
              <w:t xml:space="preserve">       博士研究生论文工作须在导师（或导师小组）指导下，导师同意其研究生参加学位论文答辩，研究生方可提出学位申请。研究工作由工程类博士专业学位研究生本人独立完成，应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tc>
      </w:tr>
      <w:tr w14:paraId="2DF0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AC7C17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30233C21">
            <w:pPr>
              <w:pStyle w:val="3"/>
              <w:keepNext w:val="0"/>
              <w:keepLines w:val="0"/>
              <w:widowControl/>
              <w:suppressLineNumbers w:val="0"/>
              <w:spacing w:line="300" w:lineRule="atLeast"/>
              <w:jc w:val="both"/>
            </w:pPr>
            <w:r>
              <w:t xml:space="preserve">      材料与化工专业专业博士研究生按照培养方案的要求修满学分，完成实践环节和学位论文工作，并通过论文答辩后可以提出学位申请，经学位评定委员会审定通过，可被授予本领域工程博士专业学位。</w:t>
            </w:r>
          </w:p>
          <w:p w14:paraId="162604A1">
            <w:pPr>
              <w:pStyle w:val="3"/>
              <w:keepNext w:val="0"/>
              <w:keepLines w:val="0"/>
              <w:widowControl/>
              <w:suppressLineNumbers w:val="0"/>
              <w:spacing w:line="300" w:lineRule="atLeast"/>
              <w:jc w:val="both"/>
            </w:pPr>
            <w:r>
              <w:t xml:space="preserve">      研究生提前修完培养计划规定的内容，思想政治素质和品德合格，学位论文达到《兰州大学各学科研究生在学期间完成科研成果的基本要求》，经导师和学院同意，允许提前申请学位答辩，答辩通过者准予毕业并颁发毕业证书；达到兰州大学学位授予要求的授予相应学位。</w:t>
            </w:r>
          </w:p>
          <w:p w14:paraId="71E6A758">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166F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5C8CBC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39FE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5"/>
              <w:gridCol w:w="759"/>
              <w:gridCol w:w="1942"/>
              <w:gridCol w:w="437"/>
              <w:gridCol w:w="437"/>
              <w:gridCol w:w="484"/>
              <w:gridCol w:w="1567"/>
              <w:gridCol w:w="749"/>
            </w:tblGrid>
            <w:tr w14:paraId="511D42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7BF3D6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01536B1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3426289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01BDCDB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39F1322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4ED2ED3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1064774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860" w:type="dxa"/>
                  <w:shd w:val="clear" w:color="auto" w:fill="auto"/>
                  <w:vAlign w:val="center"/>
                </w:tcPr>
                <w:p w14:paraId="2182101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09203DE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957B2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32742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tc>
              <w:tc>
                <w:tcPr>
                  <w:tcW w:w="0" w:type="auto"/>
                  <w:shd w:val="clear" w:color="auto" w:fill="auto"/>
                  <w:vAlign w:val="center"/>
                </w:tcPr>
                <w:p w14:paraId="6FE524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2867A0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357FC9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9BB00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7A6CF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B47CF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A08DF77">
                  <w:pPr>
                    <w:jc w:val="center"/>
                    <w:rPr>
                      <w:rFonts w:hint="eastAsia" w:ascii="宋体"/>
                      <w:sz w:val="10"/>
                      <w:szCs w:val="10"/>
                    </w:rPr>
                  </w:pPr>
                </w:p>
              </w:tc>
            </w:tr>
            <w:tr w14:paraId="04BE639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5F8ED42">
                  <w:pPr>
                    <w:jc w:val="center"/>
                    <w:rPr>
                      <w:rFonts w:hint="eastAsia" w:ascii="宋体"/>
                      <w:sz w:val="10"/>
                      <w:szCs w:val="10"/>
                    </w:rPr>
                  </w:pPr>
                </w:p>
              </w:tc>
              <w:tc>
                <w:tcPr>
                  <w:tcW w:w="0" w:type="auto"/>
                  <w:shd w:val="clear" w:color="auto" w:fill="auto"/>
                  <w:vAlign w:val="center"/>
                </w:tcPr>
                <w:p w14:paraId="21A1A7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461663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33C71E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87458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3CC61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C947A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4FCB73C">
                  <w:pPr>
                    <w:jc w:val="center"/>
                    <w:rPr>
                      <w:rFonts w:hint="eastAsia" w:ascii="宋体"/>
                      <w:sz w:val="10"/>
                      <w:szCs w:val="10"/>
                    </w:rPr>
                  </w:pPr>
                </w:p>
              </w:tc>
            </w:tr>
            <w:tr w14:paraId="7E6539B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7EC6D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6E0C8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6学分 </w:t>
                  </w:r>
                </w:p>
              </w:tc>
              <w:tc>
                <w:tcPr>
                  <w:tcW w:w="0" w:type="auto"/>
                  <w:shd w:val="clear" w:color="auto" w:fill="auto"/>
                  <w:vAlign w:val="center"/>
                </w:tcPr>
                <w:p w14:paraId="6B8C28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412163003</w:t>
                  </w:r>
                </w:p>
              </w:tc>
              <w:tc>
                <w:tcPr>
                  <w:tcW w:w="0" w:type="auto"/>
                  <w:shd w:val="clear" w:color="auto" w:fill="auto"/>
                  <w:vAlign w:val="center"/>
                </w:tcPr>
                <w:p w14:paraId="31E538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3B9BF3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E5CA9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F8942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5011A5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2学分, 必修 </w:t>
                  </w:r>
                </w:p>
              </w:tc>
              <w:tc>
                <w:tcPr>
                  <w:tcW w:w="860" w:type="dxa"/>
                  <w:shd w:val="clear" w:color="auto" w:fill="auto"/>
                  <w:vAlign w:val="center"/>
                </w:tcPr>
                <w:p w14:paraId="19C76F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材料与能源学院专博必修 </w:t>
                  </w:r>
                </w:p>
              </w:tc>
            </w:tr>
            <w:tr w14:paraId="2C4196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8FF5667">
                  <w:pPr>
                    <w:jc w:val="center"/>
                    <w:rPr>
                      <w:rFonts w:hint="eastAsia" w:ascii="宋体"/>
                      <w:sz w:val="10"/>
                      <w:szCs w:val="10"/>
                    </w:rPr>
                  </w:pPr>
                </w:p>
              </w:tc>
              <w:tc>
                <w:tcPr>
                  <w:tcW w:w="0" w:type="auto"/>
                  <w:shd w:val="clear" w:color="auto" w:fill="auto"/>
                  <w:vAlign w:val="center"/>
                </w:tcPr>
                <w:p w14:paraId="37E718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405162017</w:t>
                  </w:r>
                </w:p>
              </w:tc>
              <w:tc>
                <w:tcPr>
                  <w:tcW w:w="0" w:type="auto"/>
                  <w:shd w:val="clear" w:color="auto" w:fill="auto"/>
                  <w:vAlign w:val="center"/>
                </w:tcPr>
                <w:p w14:paraId="5444A7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607901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8EB5E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B58B2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continue"/>
                  <w:shd w:val="clear" w:color="auto" w:fill="auto"/>
                  <w:vAlign w:val="center"/>
                </w:tcPr>
                <w:p w14:paraId="60B62F5F">
                  <w:pPr>
                    <w:jc w:val="center"/>
                    <w:rPr>
                      <w:rFonts w:hint="eastAsia" w:ascii="宋体"/>
                      <w:sz w:val="10"/>
                      <w:szCs w:val="10"/>
                    </w:rPr>
                  </w:pPr>
                </w:p>
              </w:tc>
              <w:tc>
                <w:tcPr>
                  <w:tcW w:w="860" w:type="dxa"/>
                  <w:shd w:val="clear" w:color="auto" w:fill="auto"/>
                  <w:vAlign w:val="center"/>
                </w:tcPr>
                <w:p w14:paraId="4FA72C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化学化工学院专博必修 </w:t>
                  </w:r>
                </w:p>
              </w:tc>
            </w:tr>
            <w:tr w14:paraId="01426F6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769A396">
                  <w:pPr>
                    <w:jc w:val="center"/>
                    <w:rPr>
                      <w:rFonts w:hint="eastAsia" w:ascii="宋体"/>
                      <w:sz w:val="10"/>
                      <w:szCs w:val="10"/>
                    </w:rPr>
                  </w:pPr>
                </w:p>
              </w:tc>
              <w:tc>
                <w:tcPr>
                  <w:tcW w:w="0" w:type="auto"/>
                  <w:shd w:val="clear" w:color="auto" w:fill="auto"/>
                  <w:vAlign w:val="center"/>
                </w:tcPr>
                <w:p w14:paraId="0D3B5F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75582C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0650FC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8D1C1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2F082D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08584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6 选 2,最小 4学分, 必修 </w:t>
                  </w:r>
                </w:p>
              </w:tc>
              <w:tc>
                <w:tcPr>
                  <w:tcW w:w="860" w:type="dxa"/>
                  <w:vMerge w:val="restart"/>
                  <w:shd w:val="clear" w:color="auto" w:fill="auto"/>
                  <w:vAlign w:val="center"/>
                </w:tcPr>
                <w:p w14:paraId="2321BD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材料与能源学院开课 </w:t>
                  </w:r>
                </w:p>
              </w:tc>
            </w:tr>
            <w:tr w14:paraId="5F1175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D1FD77C">
                  <w:pPr>
                    <w:jc w:val="center"/>
                    <w:rPr>
                      <w:rFonts w:hint="eastAsia" w:ascii="宋体"/>
                      <w:sz w:val="10"/>
                      <w:szCs w:val="10"/>
                    </w:rPr>
                  </w:pPr>
                </w:p>
              </w:tc>
              <w:tc>
                <w:tcPr>
                  <w:tcW w:w="0" w:type="auto"/>
                  <w:shd w:val="clear" w:color="auto" w:fill="auto"/>
                  <w:vAlign w:val="center"/>
                </w:tcPr>
                <w:p w14:paraId="1E2ACE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412173005</w:t>
                  </w:r>
                </w:p>
              </w:tc>
              <w:tc>
                <w:tcPr>
                  <w:tcW w:w="0" w:type="auto"/>
                  <w:shd w:val="clear" w:color="auto" w:fill="auto"/>
                  <w:vAlign w:val="center"/>
                </w:tcPr>
                <w:p w14:paraId="71036D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068193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8E188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F3F72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continue"/>
                  <w:shd w:val="clear" w:color="auto" w:fill="auto"/>
                  <w:vAlign w:val="center"/>
                </w:tcPr>
                <w:p w14:paraId="3A3B6873">
                  <w:pPr>
                    <w:jc w:val="center"/>
                    <w:rPr>
                      <w:rFonts w:hint="eastAsia" w:ascii="宋体"/>
                      <w:sz w:val="10"/>
                      <w:szCs w:val="10"/>
                    </w:rPr>
                  </w:pPr>
                </w:p>
              </w:tc>
              <w:tc>
                <w:tcPr>
                  <w:tcW w:w="860" w:type="dxa"/>
                  <w:vMerge w:val="continue"/>
                  <w:shd w:val="clear" w:color="auto" w:fill="auto"/>
                  <w:vAlign w:val="center"/>
                </w:tcPr>
                <w:p w14:paraId="6FCAF8FB">
                  <w:pPr>
                    <w:jc w:val="center"/>
                    <w:rPr>
                      <w:rFonts w:hint="eastAsia" w:ascii="宋体"/>
                      <w:sz w:val="10"/>
                      <w:szCs w:val="10"/>
                    </w:rPr>
                  </w:pPr>
                </w:p>
              </w:tc>
            </w:tr>
            <w:tr w14:paraId="118F973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129DC7C">
                  <w:pPr>
                    <w:jc w:val="center"/>
                    <w:rPr>
                      <w:rFonts w:hint="eastAsia" w:ascii="宋体"/>
                      <w:sz w:val="10"/>
                      <w:szCs w:val="10"/>
                    </w:rPr>
                  </w:pPr>
                </w:p>
              </w:tc>
              <w:tc>
                <w:tcPr>
                  <w:tcW w:w="0" w:type="auto"/>
                  <w:shd w:val="clear" w:color="auto" w:fill="auto"/>
                  <w:vAlign w:val="center"/>
                </w:tcPr>
                <w:p w14:paraId="269D26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412172004</w:t>
                  </w:r>
                </w:p>
              </w:tc>
              <w:tc>
                <w:tcPr>
                  <w:tcW w:w="0" w:type="auto"/>
                  <w:shd w:val="clear" w:color="auto" w:fill="auto"/>
                  <w:vAlign w:val="center"/>
                </w:tcPr>
                <w:p w14:paraId="7C8283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材料与新能源实验方法</w:t>
                  </w:r>
                </w:p>
              </w:tc>
              <w:tc>
                <w:tcPr>
                  <w:tcW w:w="0" w:type="auto"/>
                  <w:shd w:val="clear" w:color="auto" w:fill="auto"/>
                  <w:vAlign w:val="center"/>
                </w:tcPr>
                <w:p w14:paraId="5795C5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FC8BD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2B58F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continue"/>
                  <w:shd w:val="clear" w:color="auto" w:fill="auto"/>
                  <w:vAlign w:val="center"/>
                </w:tcPr>
                <w:p w14:paraId="2079CFB0">
                  <w:pPr>
                    <w:jc w:val="center"/>
                    <w:rPr>
                      <w:rFonts w:hint="eastAsia" w:ascii="宋体"/>
                      <w:sz w:val="10"/>
                      <w:szCs w:val="10"/>
                    </w:rPr>
                  </w:pPr>
                </w:p>
              </w:tc>
              <w:tc>
                <w:tcPr>
                  <w:tcW w:w="860" w:type="dxa"/>
                  <w:vMerge w:val="continue"/>
                  <w:shd w:val="clear" w:color="auto" w:fill="auto"/>
                  <w:vAlign w:val="center"/>
                </w:tcPr>
                <w:p w14:paraId="0BBE6B5B">
                  <w:pPr>
                    <w:jc w:val="center"/>
                    <w:rPr>
                      <w:rFonts w:hint="eastAsia" w:ascii="宋体"/>
                      <w:sz w:val="10"/>
                      <w:szCs w:val="10"/>
                    </w:rPr>
                  </w:pPr>
                </w:p>
              </w:tc>
            </w:tr>
            <w:tr w14:paraId="7DC1D5A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2C3D510">
                  <w:pPr>
                    <w:jc w:val="center"/>
                    <w:rPr>
                      <w:rFonts w:hint="eastAsia" w:ascii="宋体"/>
                      <w:sz w:val="10"/>
                      <w:szCs w:val="10"/>
                    </w:rPr>
                  </w:pPr>
                </w:p>
              </w:tc>
              <w:tc>
                <w:tcPr>
                  <w:tcW w:w="0" w:type="auto"/>
                  <w:shd w:val="clear" w:color="auto" w:fill="auto"/>
                  <w:vAlign w:val="center"/>
                </w:tcPr>
                <w:p w14:paraId="426F66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405141206</w:t>
                  </w:r>
                </w:p>
              </w:tc>
              <w:tc>
                <w:tcPr>
                  <w:tcW w:w="0" w:type="auto"/>
                  <w:shd w:val="clear" w:color="auto" w:fill="auto"/>
                  <w:vAlign w:val="center"/>
                </w:tcPr>
                <w:p w14:paraId="75C59D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高等光谱分析</w:t>
                  </w:r>
                </w:p>
              </w:tc>
              <w:tc>
                <w:tcPr>
                  <w:tcW w:w="0" w:type="auto"/>
                  <w:shd w:val="clear" w:color="auto" w:fill="auto"/>
                  <w:vAlign w:val="center"/>
                </w:tcPr>
                <w:p w14:paraId="5058E6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6403D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BC9D2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4DE10992">
                  <w:pPr>
                    <w:jc w:val="center"/>
                    <w:rPr>
                      <w:rFonts w:hint="eastAsia" w:ascii="宋体"/>
                      <w:sz w:val="10"/>
                      <w:szCs w:val="10"/>
                    </w:rPr>
                  </w:pPr>
                </w:p>
              </w:tc>
              <w:tc>
                <w:tcPr>
                  <w:tcW w:w="860" w:type="dxa"/>
                  <w:vMerge w:val="restart"/>
                  <w:shd w:val="clear" w:color="auto" w:fill="auto"/>
                  <w:vAlign w:val="center"/>
                </w:tcPr>
                <w:p w14:paraId="7B0BEC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化学化工学院开课 </w:t>
                  </w:r>
                </w:p>
              </w:tc>
            </w:tr>
            <w:tr w14:paraId="5372E0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19E226B">
                  <w:pPr>
                    <w:jc w:val="center"/>
                    <w:rPr>
                      <w:rFonts w:hint="eastAsia" w:ascii="宋体"/>
                      <w:sz w:val="10"/>
                      <w:szCs w:val="10"/>
                    </w:rPr>
                  </w:pPr>
                </w:p>
              </w:tc>
              <w:tc>
                <w:tcPr>
                  <w:tcW w:w="0" w:type="auto"/>
                  <w:shd w:val="clear" w:color="auto" w:fill="auto"/>
                  <w:vAlign w:val="center"/>
                </w:tcPr>
                <w:p w14:paraId="71039E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405141304</w:t>
                  </w:r>
                </w:p>
              </w:tc>
              <w:tc>
                <w:tcPr>
                  <w:tcW w:w="0" w:type="auto"/>
                  <w:shd w:val="clear" w:color="auto" w:fill="auto"/>
                  <w:vAlign w:val="center"/>
                </w:tcPr>
                <w:p w14:paraId="05CD27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有机材料化学导论</w:t>
                  </w:r>
                </w:p>
              </w:tc>
              <w:tc>
                <w:tcPr>
                  <w:tcW w:w="0" w:type="auto"/>
                  <w:shd w:val="clear" w:color="auto" w:fill="auto"/>
                  <w:vAlign w:val="center"/>
                </w:tcPr>
                <w:p w14:paraId="7D3D06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23DB2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98AE4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4F0E26FF">
                  <w:pPr>
                    <w:jc w:val="center"/>
                    <w:rPr>
                      <w:rFonts w:hint="eastAsia" w:ascii="宋体"/>
                      <w:sz w:val="10"/>
                      <w:szCs w:val="10"/>
                    </w:rPr>
                  </w:pPr>
                </w:p>
              </w:tc>
              <w:tc>
                <w:tcPr>
                  <w:tcW w:w="860" w:type="dxa"/>
                  <w:vMerge w:val="continue"/>
                  <w:shd w:val="clear" w:color="auto" w:fill="auto"/>
                  <w:vAlign w:val="center"/>
                </w:tcPr>
                <w:p w14:paraId="0D318ABA">
                  <w:pPr>
                    <w:jc w:val="center"/>
                    <w:rPr>
                      <w:rFonts w:hint="eastAsia" w:ascii="宋体"/>
                      <w:sz w:val="10"/>
                      <w:szCs w:val="10"/>
                    </w:rPr>
                  </w:pPr>
                </w:p>
              </w:tc>
            </w:tr>
            <w:tr w14:paraId="5F6E2FC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56A5CF9">
                  <w:pPr>
                    <w:jc w:val="center"/>
                    <w:rPr>
                      <w:rFonts w:hint="eastAsia" w:ascii="宋体"/>
                      <w:sz w:val="10"/>
                      <w:szCs w:val="10"/>
                    </w:rPr>
                  </w:pPr>
                </w:p>
              </w:tc>
              <w:tc>
                <w:tcPr>
                  <w:tcW w:w="0" w:type="auto"/>
                  <w:shd w:val="clear" w:color="auto" w:fill="auto"/>
                  <w:vAlign w:val="center"/>
                </w:tcPr>
                <w:p w14:paraId="0D088C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405141102</w:t>
                  </w:r>
                </w:p>
              </w:tc>
              <w:tc>
                <w:tcPr>
                  <w:tcW w:w="0" w:type="auto"/>
                  <w:shd w:val="clear" w:color="auto" w:fill="auto"/>
                  <w:vAlign w:val="center"/>
                </w:tcPr>
                <w:p w14:paraId="75272C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稀土化学前沿</w:t>
                  </w:r>
                </w:p>
              </w:tc>
              <w:tc>
                <w:tcPr>
                  <w:tcW w:w="0" w:type="auto"/>
                  <w:shd w:val="clear" w:color="auto" w:fill="auto"/>
                  <w:vAlign w:val="center"/>
                </w:tcPr>
                <w:p w14:paraId="6CA153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E01E1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0DEEE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7C0E70C4">
                  <w:pPr>
                    <w:jc w:val="center"/>
                    <w:rPr>
                      <w:rFonts w:hint="eastAsia" w:ascii="宋体"/>
                      <w:sz w:val="10"/>
                      <w:szCs w:val="10"/>
                    </w:rPr>
                  </w:pPr>
                </w:p>
              </w:tc>
              <w:tc>
                <w:tcPr>
                  <w:tcW w:w="860" w:type="dxa"/>
                  <w:vMerge w:val="continue"/>
                  <w:shd w:val="clear" w:color="auto" w:fill="auto"/>
                  <w:vAlign w:val="center"/>
                </w:tcPr>
                <w:p w14:paraId="67357C93">
                  <w:pPr>
                    <w:jc w:val="center"/>
                    <w:rPr>
                      <w:rFonts w:hint="eastAsia" w:ascii="宋体"/>
                      <w:sz w:val="10"/>
                      <w:szCs w:val="10"/>
                    </w:rPr>
                  </w:pPr>
                </w:p>
              </w:tc>
            </w:tr>
            <w:tr w14:paraId="1C32786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49FECD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07631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6学分 </w:t>
                  </w:r>
                </w:p>
              </w:tc>
              <w:tc>
                <w:tcPr>
                  <w:tcW w:w="0" w:type="auto"/>
                  <w:shd w:val="clear" w:color="auto" w:fill="auto"/>
                  <w:vAlign w:val="center"/>
                </w:tcPr>
                <w:p w14:paraId="2A477E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405172030</w:t>
                  </w:r>
                </w:p>
              </w:tc>
              <w:tc>
                <w:tcPr>
                  <w:tcW w:w="0" w:type="auto"/>
                  <w:shd w:val="clear" w:color="auto" w:fill="auto"/>
                  <w:vAlign w:val="center"/>
                </w:tcPr>
                <w:p w14:paraId="4AE2B1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工业催化基础与前沿</w:t>
                  </w:r>
                </w:p>
              </w:tc>
              <w:tc>
                <w:tcPr>
                  <w:tcW w:w="0" w:type="auto"/>
                  <w:shd w:val="clear" w:color="auto" w:fill="auto"/>
                  <w:vAlign w:val="center"/>
                </w:tcPr>
                <w:p w14:paraId="28BAD0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EB0AD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46DDA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6169A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8 选 2,最小 6学分, 必修 </w:t>
                  </w:r>
                </w:p>
              </w:tc>
              <w:tc>
                <w:tcPr>
                  <w:tcW w:w="860" w:type="dxa"/>
                  <w:vMerge w:val="continue"/>
                  <w:shd w:val="clear" w:color="auto" w:fill="auto"/>
                  <w:vAlign w:val="center"/>
                </w:tcPr>
                <w:p w14:paraId="7D1EA9D0">
                  <w:pPr>
                    <w:jc w:val="center"/>
                    <w:rPr>
                      <w:rFonts w:hint="eastAsia" w:ascii="宋体"/>
                      <w:sz w:val="10"/>
                      <w:szCs w:val="10"/>
                    </w:rPr>
                  </w:pPr>
                </w:p>
              </w:tc>
            </w:tr>
            <w:tr w14:paraId="4B8848C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3FF8A25">
                  <w:pPr>
                    <w:jc w:val="center"/>
                    <w:rPr>
                      <w:rFonts w:hint="eastAsia" w:ascii="宋体"/>
                      <w:sz w:val="10"/>
                      <w:szCs w:val="10"/>
                    </w:rPr>
                  </w:pPr>
                </w:p>
              </w:tc>
              <w:tc>
                <w:tcPr>
                  <w:tcW w:w="0" w:type="auto"/>
                  <w:shd w:val="clear" w:color="auto" w:fill="auto"/>
                  <w:vAlign w:val="center"/>
                </w:tcPr>
                <w:p w14:paraId="335808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405141501</w:t>
                  </w:r>
                </w:p>
              </w:tc>
              <w:tc>
                <w:tcPr>
                  <w:tcW w:w="0" w:type="auto"/>
                  <w:shd w:val="clear" w:color="auto" w:fill="auto"/>
                  <w:vAlign w:val="center"/>
                </w:tcPr>
                <w:p w14:paraId="390E4B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高分子科学研究进展</w:t>
                  </w:r>
                </w:p>
              </w:tc>
              <w:tc>
                <w:tcPr>
                  <w:tcW w:w="0" w:type="auto"/>
                  <w:shd w:val="clear" w:color="auto" w:fill="auto"/>
                  <w:vAlign w:val="center"/>
                </w:tcPr>
                <w:p w14:paraId="22D3C1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91D0E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679F8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4523147D">
                  <w:pPr>
                    <w:jc w:val="center"/>
                    <w:rPr>
                      <w:rFonts w:hint="eastAsia" w:ascii="宋体"/>
                      <w:sz w:val="10"/>
                      <w:szCs w:val="10"/>
                    </w:rPr>
                  </w:pPr>
                </w:p>
              </w:tc>
              <w:tc>
                <w:tcPr>
                  <w:tcW w:w="860" w:type="dxa"/>
                  <w:vMerge w:val="continue"/>
                  <w:shd w:val="clear" w:color="auto" w:fill="auto"/>
                  <w:vAlign w:val="center"/>
                </w:tcPr>
                <w:p w14:paraId="3DC3592B">
                  <w:pPr>
                    <w:jc w:val="center"/>
                    <w:rPr>
                      <w:rFonts w:hint="eastAsia" w:ascii="宋体"/>
                      <w:sz w:val="10"/>
                      <w:szCs w:val="10"/>
                    </w:rPr>
                  </w:pPr>
                </w:p>
              </w:tc>
            </w:tr>
            <w:tr w14:paraId="25374C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5B4EAE9">
                  <w:pPr>
                    <w:jc w:val="center"/>
                    <w:rPr>
                      <w:rFonts w:hint="eastAsia" w:ascii="宋体"/>
                      <w:sz w:val="10"/>
                      <w:szCs w:val="10"/>
                    </w:rPr>
                  </w:pPr>
                </w:p>
              </w:tc>
              <w:tc>
                <w:tcPr>
                  <w:tcW w:w="0" w:type="auto"/>
                  <w:shd w:val="clear" w:color="auto" w:fill="auto"/>
                  <w:vAlign w:val="center"/>
                </w:tcPr>
                <w:p w14:paraId="01BACA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405143106</w:t>
                  </w:r>
                </w:p>
              </w:tc>
              <w:tc>
                <w:tcPr>
                  <w:tcW w:w="0" w:type="auto"/>
                  <w:shd w:val="clear" w:color="auto" w:fill="auto"/>
                  <w:vAlign w:val="center"/>
                </w:tcPr>
                <w:p w14:paraId="6BE0FE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结构分析</w:t>
                  </w:r>
                </w:p>
              </w:tc>
              <w:tc>
                <w:tcPr>
                  <w:tcW w:w="0" w:type="auto"/>
                  <w:shd w:val="clear" w:color="auto" w:fill="auto"/>
                  <w:vAlign w:val="center"/>
                </w:tcPr>
                <w:p w14:paraId="6C89E5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B482D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DE3DD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47D8E9F0">
                  <w:pPr>
                    <w:jc w:val="center"/>
                    <w:rPr>
                      <w:rFonts w:hint="eastAsia" w:ascii="宋体"/>
                      <w:sz w:val="10"/>
                      <w:szCs w:val="10"/>
                    </w:rPr>
                  </w:pPr>
                </w:p>
              </w:tc>
              <w:tc>
                <w:tcPr>
                  <w:tcW w:w="860" w:type="dxa"/>
                  <w:vMerge w:val="continue"/>
                  <w:shd w:val="clear" w:color="auto" w:fill="auto"/>
                  <w:vAlign w:val="center"/>
                </w:tcPr>
                <w:p w14:paraId="40A790A6">
                  <w:pPr>
                    <w:jc w:val="center"/>
                    <w:rPr>
                      <w:rFonts w:hint="eastAsia" w:ascii="宋体"/>
                      <w:sz w:val="10"/>
                      <w:szCs w:val="10"/>
                    </w:rPr>
                  </w:pPr>
                </w:p>
              </w:tc>
            </w:tr>
            <w:tr w14:paraId="7873DD8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0D7F49D">
                  <w:pPr>
                    <w:jc w:val="center"/>
                    <w:rPr>
                      <w:rFonts w:hint="eastAsia" w:ascii="宋体"/>
                      <w:sz w:val="10"/>
                      <w:szCs w:val="10"/>
                    </w:rPr>
                  </w:pPr>
                </w:p>
              </w:tc>
              <w:tc>
                <w:tcPr>
                  <w:tcW w:w="0" w:type="auto"/>
                  <w:shd w:val="clear" w:color="auto" w:fill="auto"/>
                  <w:vAlign w:val="center"/>
                </w:tcPr>
                <w:p w14:paraId="3773AA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405162003</w:t>
                  </w:r>
                </w:p>
              </w:tc>
              <w:tc>
                <w:tcPr>
                  <w:tcW w:w="0" w:type="auto"/>
                  <w:shd w:val="clear" w:color="auto" w:fill="auto"/>
                  <w:vAlign w:val="center"/>
                </w:tcPr>
                <w:p w14:paraId="20FFAD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化学反应工程分析</w:t>
                  </w:r>
                </w:p>
              </w:tc>
              <w:tc>
                <w:tcPr>
                  <w:tcW w:w="0" w:type="auto"/>
                  <w:shd w:val="clear" w:color="auto" w:fill="auto"/>
                  <w:vAlign w:val="center"/>
                </w:tcPr>
                <w:p w14:paraId="753462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18B01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65B15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vMerge w:val="continue"/>
                  <w:shd w:val="clear" w:color="auto" w:fill="auto"/>
                  <w:vAlign w:val="center"/>
                </w:tcPr>
                <w:p w14:paraId="2170A8B0">
                  <w:pPr>
                    <w:jc w:val="center"/>
                    <w:rPr>
                      <w:rFonts w:hint="eastAsia" w:ascii="宋体"/>
                      <w:sz w:val="10"/>
                      <w:szCs w:val="10"/>
                    </w:rPr>
                  </w:pPr>
                </w:p>
              </w:tc>
              <w:tc>
                <w:tcPr>
                  <w:tcW w:w="860" w:type="dxa"/>
                  <w:vMerge w:val="continue"/>
                  <w:shd w:val="clear" w:color="auto" w:fill="auto"/>
                  <w:vAlign w:val="center"/>
                </w:tcPr>
                <w:p w14:paraId="1B128424">
                  <w:pPr>
                    <w:jc w:val="center"/>
                    <w:rPr>
                      <w:rFonts w:hint="eastAsia" w:ascii="宋体"/>
                      <w:sz w:val="10"/>
                      <w:szCs w:val="10"/>
                    </w:rPr>
                  </w:pPr>
                </w:p>
              </w:tc>
            </w:tr>
            <w:tr w14:paraId="344497B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AF3BBB4">
                  <w:pPr>
                    <w:jc w:val="center"/>
                    <w:rPr>
                      <w:rFonts w:hint="eastAsia" w:ascii="宋体"/>
                      <w:sz w:val="10"/>
                      <w:szCs w:val="10"/>
                    </w:rPr>
                  </w:pPr>
                </w:p>
              </w:tc>
              <w:tc>
                <w:tcPr>
                  <w:tcW w:w="0" w:type="auto"/>
                  <w:shd w:val="clear" w:color="auto" w:fill="auto"/>
                  <w:vAlign w:val="center"/>
                </w:tcPr>
                <w:p w14:paraId="7DCC49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412173006</w:t>
                  </w:r>
                </w:p>
              </w:tc>
              <w:tc>
                <w:tcPr>
                  <w:tcW w:w="0" w:type="auto"/>
                  <w:shd w:val="clear" w:color="auto" w:fill="auto"/>
                  <w:vAlign w:val="center"/>
                </w:tcPr>
                <w:p w14:paraId="1FAA71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6F84EA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60342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42C8E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325557B6">
                  <w:pPr>
                    <w:jc w:val="center"/>
                    <w:rPr>
                      <w:rFonts w:hint="eastAsia" w:ascii="宋体"/>
                      <w:sz w:val="10"/>
                      <w:szCs w:val="10"/>
                    </w:rPr>
                  </w:pPr>
                </w:p>
              </w:tc>
              <w:tc>
                <w:tcPr>
                  <w:tcW w:w="860" w:type="dxa"/>
                  <w:vMerge w:val="restart"/>
                  <w:shd w:val="clear" w:color="auto" w:fill="auto"/>
                  <w:vAlign w:val="center"/>
                </w:tcPr>
                <w:p w14:paraId="27D653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材料与能源学院开课 </w:t>
                  </w:r>
                </w:p>
              </w:tc>
            </w:tr>
            <w:tr w14:paraId="6691178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9A648F0">
                  <w:pPr>
                    <w:jc w:val="center"/>
                    <w:rPr>
                      <w:rFonts w:hint="eastAsia" w:ascii="宋体"/>
                      <w:sz w:val="10"/>
                      <w:szCs w:val="10"/>
                    </w:rPr>
                  </w:pPr>
                </w:p>
              </w:tc>
              <w:tc>
                <w:tcPr>
                  <w:tcW w:w="0" w:type="auto"/>
                  <w:shd w:val="clear" w:color="auto" w:fill="auto"/>
                  <w:vAlign w:val="center"/>
                </w:tcPr>
                <w:p w14:paraId="428BE2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402172021</w:t>
                  </w:r>
                </w:p>
              </w:tc>
              <w:tc>
                <w:tcPr>
                  <w:tcW w:w="0" w:type="auto"/>
                  <w:shd w:val="clear" w:color="auto" w:fill="auto"/>
                  <w:vAlign w:val="center"/>
                </w:tcPr>
                <w:p w14:paraId="45C0E2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667279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13ACF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AF721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43D8E4E1">
                  <w:pPr>
                    <w:jc w:val="center"/>
                    <w:rPr>
                      <w:rFonts w:hint="eastAsia" w:ascii="宋体"/>
                      <w:sz w:val="10"/>
                      <w:szCs w:val="10"/>
                    </w:rPr>
                  </w:pPr>
                </w:p>
              </w:tc>
              <w:tc>
                <w:tcPr>
                  <w:tcW w:w="860" w:type="dxa"/>
                  <w:vMerge w:val="continue"/>
                  <w:shd w:val="clear" w:color="auto" w:fill="auto"/>
                  <w:vAlign w:val="center"/>
                </w:tcPr>
                <w:p w14:paraId="18E7C546">
                  <w:pPr>
                    <w:jc w:val="center"/>
                    <w:rPr>
                      <w:rFonts w:hint="eastAsia" w:ascii="宋体"/>
                      <w:sz w:val="10"/>
                      <w:szCs w:val="10"/>
                    </w:rPr>
                  </w:pPr>
                </w:p>
              </w:tc>
            </w:tr>
            <w:tr w14:paraId="0029D02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B05FD8E">
                  <w:pPr>
                    <w:jc w:val="center"/>
                    <w:rPr>
                      <w:rFonts w:hint="eastAsia" w:ascii="宋体"/>
                      <w:sz w:val="10"/>
                      <w:szCs w:val="10"/>
                    </w:rPr>
                  </w:pPr>
                </w:p>
              </w:tc>
              <w:tc>
                <w:tcPr>
                  <w:tcW w:w="0" w:type="auto"/>
                  <w:shd w:val="clear" w:color="auto" w:fill="auto"/>
                  <w:vAlign w:val="center"/>
                </w:tcPr>
                <w:p w14:paraId="1084F6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402172022</w:t>
                  </w:r>
                </w:p>
              </w:tc>
              <w:tc>
                <w:tcPr>
                  <w:tcW w:w="0" w:type="auto"/>
                  <w:shd w:val="clear" w:color="auto" w:fill="auto"/>
                  <w:vAlign w:val="center"/>
                </w:tcPr>
                <w:p w14:paraId="7BCC9F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固体物理Ⅰ</w:t>
                  </w:r>
                </w:p>
              </w:tc>
              <w:tc>
                <w:tcPr>
                  <w:tcW w:w="0" w:type="auto"/>
                  <w:shd w:val="clear" w:color="auto" w:fill="auto"/>
                  <w:vAlign w:val="center"/>
                </w:tcPr>
                <w:p w14:paraId="192809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4951F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BE956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78D7A251">
                  <w:pPr>
                    <w:jc w:val="center"/>
                    <w:rPr>
                      <w:rFonts w:hint="eastAsia" w:ascii="宋体"/>
                      <w:sz w:val="10"/>
                      <w:szCs w:val="10"/>
                    </w:rPr>
                  </w:pPr>
                </w:p>
              </w:tc>
              <w:tc>
                <w:tcPr>
                  <w:tcW w:w="860" w:type="dxa"/>
                  <w:vMerge w:val="continue"/>
                  <w:shd w:val="clear" w:color="auto" w:fill="auto"/>
                  <w:vAlign w:val="center"/>
                </w:tcPr>
                <w:p w14:paraId="5853F7B9">
                  <w:pPr>
                    <w:jc w:val="center"/>
                    <w:rPr>
                      <w:rFonts w:hint="eastAsia" w:ascii="宋体"/>
                      <w:sz w:val="10"/>
                      <w:szCs w:val="10"/>
                    </w:rPr>
                  </w:pPr>
                </w:p>
              </w:tc>
            </w:tr>
            <w:tr w14:paraId="4F71179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46C937B">
                  <w:pPr>
                    <w:jc w:val="center"/>
                    <w:rPr>
                      <w:rFonts w:hint="eastAsia" w:ascii="宋体"/>
                      <w:sz w:val="10"/>
                      <w:szCs w:val="10"/>
                    </w:rPr>
                  </w:pPr>
                </w:p>
              </w:tc>
              <w:tc>
                <w:tcPr>
                  <w:tcW w:w="0" w:type="auto"/>
                  <w:shd w:val="clear" w:color="auto" w:fill="auto"/>
                  <w:vAlign w:val="center"/>
                </w:tcPr>
                <w:p w14:paraId="46C58B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6678CC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6C5AE7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D809D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9548E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vMerge w:val="continue"/>
                  <w:shd w:val="clear" w:color="auto" w:fill="auto"/>
                  <w:vAlign w:val="center"/>
                </w:tcPr>
                <w:p w14:paraId="68F4731A">
                  <w:pPr>
                    <w:jc w:val="center"/>
                    <w:rPr>
                      <w:rFonts w:hint="eastAsia" w:ascii="宋体"/>
                      <w:sz w:val="10"/>
                      <w:szCs w:val="10"/>
                    </w:rPr>
                  </w:pPr>
                </w:p>
              </w:tc>
              <w:tc>
                <w:tcPr>
                  <w:tcW w:w="860" w:type="dxa"/>
                  <w:vMerge w:val="continue"/>
                  <w:shd w:val="clear" w:color="auto" w:fill="auto"/>
                  <w:vAlign w:val="center"/>
                </w:tcPr>
                <w:p w14:paraId="22BF2F85">
                  <w:pPr>
                    <w:jc w:val="center"/>
                    <w:rPr>
                      <w:rFonts w:hint="eastAsia" w:ascii="宋体"/>
                      <w:sz w:val="10"/>
                      <w:szCs w:val="10"/>
                    </w:rPr>
                  </w:pPr>
                </w:p>
              </w:tc>
            </w:tr>
            <w:tr w14:paraId="5870778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50D91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跨学科(模块)课程 </w:t>
                  </w:r>
                </w:p>
                <w:p w14:paraId="5BA72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0学分 </w:t>
                  </w:r>
                </w:p>
              </w:tc>
              <w:tc>
                <w:tcPr>
                  <w:tcW w:w="0" w:type="auto"/>
                  <w:shd w:val="clear" w:color="auto" w:fill="auto"/>
                  <w:vAlign w:val="center"/>
                </w:tcPr>
                <w:p w14:paraId="1F016E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博士生</w:t>
                  </w:r>
                </w:p>
              </w:tc>
              <w:tc>
                <w:tcPr>
                  <w:tcW w:w="5440" w:type="dxa"/>
                  <w:gridSpan w:val="6"/>
                  <w:shd w:val="clear" w:color="auto" w:fill="auto"/>
                  <w:vAlign w:val="center"/>
                </w:tcPr>
                <w:p w14:paraId="17EE6431">
                  <w:pPr>
                    <w:pStyle w:val="3"/>
                    <w:keepNext w:val="0"/>
                    <w:keepLines w:val="0"/>
                    <w:widowControl/>
                    <w:suppressLineNumbers w:val="0"/>
                    <w:spacing w:line="300" w:lineRule="atLeast"/>
                    <w:jc w:val="both"/>
                  </w:pPr>
                  <w:r>
                    <w:t>选课范围：无跨学科(模块)课程！</w:t>
                  </w:r>
                </w:p>
              </w:tc>
            </w:tr>
          </w:tbl>
          <w:p w14:paraId="576B84B6">
            <w:pPr>
              <w:jc w:val="center"/>
            </w:pPr>
          </w:p>
        </w:tc>
      </w:tr>
      <w:tr w14:paraId="7D8C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FB0601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23AE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30C208B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5732CB6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0059986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67892B1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24AD9F3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4A7CF25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53958E4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6218B12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F6DA5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4BDBA5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ZB181001</w:t>
                  </w:r>
                </w:p>
              </w:tc>
              <w:tc>
                <w:tcPr>
                  <w:tcW w:w="0" w:type="auto"/>
                  <w:shd w:val="clear" w:color="auto" w:fill="auto"/>
                  <w:vAlign w:val="center"/>
                </w:tcPr>
                <w:p w14:paraId="11FEAC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16B68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开题报告是所有研究生确定学位论文选题、提出研究计划 的必修环节。所有研究生均须参加开题并通过考核。由导师所在的研究所组织安排</w:t>
                  </w:r>
                </w:p>
              </w:tc>
              <w:tc>
                <w:tcPr>
                  <w:tcW w:w="0" w:type="auto"/>
                  <w:shd w:val="clear" w:color="auto" w:fill="auto"/>
                  <w:vAlign w:val="center"/>
                </w:tcPr>
                <w:p w14:paraId="3AC38B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577E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最迟于第三学期完成</w:t>
                  </w:r>
                </w:p>
              </w:tc>
            </w:tr>
            <w:tr w14:paraId="73452BF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A06CEFA">
                  <w:pPr>
                    <w:jc w:val="center"/>
                    <w:rPr>
                      <w:rFonts w:hint="eastAsia" w:ascii="宋体"/>
                      <w:sz w:val="10"/>
                      <w:szCs w:val="10"/>
                    </w:rPr>
                  </w:pPr>
                </w:p>
              </w:tc>
              <w:tc>
                <w:tcPr>
                  <w:tcW w:w="0" w:type="auto"/>
                  <w:shd w:val="clear" w:color="auto" w:fill="auto"/>
                  <w:vAlign w:val="center"/>
                </w:tcPr>
                <w:p w14:paraId="553B16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ZB181002</w:t>
                  </w:r>
                </w:p>
              </w:tc>
              <w:tc>
                <w:tcPr>
                  <w:tcW w:w="0" w:type="auto"/>
                  <w:shd w:val="clear" w:color="auto" w:fill="auto"/>
                  <w:vAlign w:val="center"/>
                </w:tcPr>
                <w:p w14:paraId="29EAC7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688B0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中期考核是全体研究生的必修环节，旨在对照培养方案的要求，从德、智、体、美、劳各方面对研究生的学业进 展、学习能力、论文进展、日常表现等进行全面检查，并对其后续学业安排提出意见、建议和要求，由导师所在的研究所组织安排。</w:t>
                  </w:r>
                </w:p>
              </w:tc>
              <w:tc>
                <w:tcPr>
                  <w:tcW w:w="0" w:type="auto"/>
                  <w:shd w:val="clear" w:color="auto" w:fill="auto"/>
                  <w:vAlign w:val="center"/>
                </w:tcPr>
                <w:p w14:paraId="24E6C3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352D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入学后第五学期完成， 考核通过者，方可申请学位论文答辩。</w:t>
                  </w:r>
                </w:p>
              </w:tc>
            </w:tr>
            <w:tr w14:paraId="2284724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15E8B2E">
                  <w:pPr>
                    <w:jc w:val="center"/>
                    <w:rPr>
                      <w:rFonts w:hint="eastAsia" w:ascii="宋体"/>
                      <w:sz w:val="10"/>
                      <w:szCs w:val="10"/>
                    </w:rPr>
                  </w:pPr>
                </w:p>
              </w:tc>
              <w:tc>
                <w:tcPr>
                  <w:tcW w:w="0" w:type="auto"/>
                  <w:shd w:val="clear" w:color="auto" w:fill="auto"/>
                  <w:vAlign w:val="center"/>
                </w:tcPr>
                <w:p w14:paraId="417D4F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ZB181007</w:t>
                  </w:r>
                </w:p>
              </w:tc>
              <w:tc>
                <w:tcPr>
                  <w:tcW w:w="0" w:type="auto"/>
                  <w:shd w:val="clear" w:color="auto" w:fill="auto"/>
                  <w:vAlign w:val="center"/>
                </w:tcPr>
                <w:p w14:paraId="5F3307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5589A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研究生的必修环节。应遵循“集中实践与分段实践”相结合、“校内实践和校外实践”相结合、“专业实践与论文工作”相结合的原则。博士研究生专业实践由校内外导师共同指导，培养研究生将专业知识应用到实践中的能力，在实践中运用专业知识和技能解决所遇到的问题。结合实践内容开展课题研究和论文工作，可采取以下几种方式灵活进行：（1）依托于学校、学院、学科点建立的研究生联合培养基地、专业实践基地，统一组织和选派学生去企业进行专业实践。（2）由校内导师结合自己所承担的与企业合作的科研课题，安排研究生的专业实践环节。（3）依托校企、校内研究所、实践平台，安排研究生的专业实践环节。专业学位博士研究生专业实践环节的考核采用学分制，考核合格方可取得相应学分。在实践活动结束后，提交《实践总结报告》，总结报告不少于5000字。校内外指导教师应根据研究生的现场实践工作量、综合表现及实践单位的反馈意见等，采用五级制（优、良、中、及格、不及格）评定成绩，及格及以上为合格，考核不合格的需重修。专业实践所涉及的技术改进、工艺优化、产品设计等工程技术领域的创新成果应获得实践单位的认可或被采纳应用。</w:t>
                  </w:r>
                </w:p>
              </w:tc>
              <w:tc>
                <w:tcPr>
                  <w:tcW w:w="0" w:type="auto"/>
                  <w:shd w:val="clear" w:color="auto" w:fill="auto"/>
                  <w:vAlign w:val="center"/>
                </w:tcPr>
                <w:p w14:paraId="581CC5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1640" w:type="dxa"/>
                  <w:shd w:val="clear" w:color="auto" w:fill="auto"/>
                  <w:vAlign w:val="center"/>
                </w:tcPr>
                <w:p w14:paraId="14C69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专业实践具体要求按照教指委相关规定执行，最迟第七学期末完成</w:t>
                  </w:r>
                </w:p>
              </w:tc>
            </w:tr>
            <w:tr w14:paraId="2C692F9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D2515ED">
                  <w:pPr>
                    <w:jc w:val="center"/>
                    <w:rPr>
                      <w:rFonts w:hint="eastAsia" w:ascii="宋体"/>
                      <w:sz w:val="10"/>
                      <w:szCs w:val="10"/>
                    </w:rPr>
                  </w:pPr>
                </w:p>
              </w:tc>
              <w:tc>
                <w:tcPr>
                  <w:tcW w:w="0" w:type="auto"/>
                  <w:shd w:val="clear" w:color="auto" w:fill="auto"/>
                  <w:vAlign w:val="center"/>
                </w:tcPr>
                <w:p w14:paraId="7D1C98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ZB181005</w:t>
                  </w:r>
                </w:p>
              </w:tc>
              <w:tc>
                <w:tcPr>
                  <w:tcW w:w="0" w:type="auto"/>
                  <w:shd w:val="clear" w:color="auto" w:fill="auto"/>
                  <w:vAlign w:val="center"/>
                </w:tcPr>
                <w:p w14:paraId="3871C1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2093D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预答辩是全体研究生的必修环节，旨在帮助研究生发现学位论文中的问题，为其修改论文提供意见和建议，提高学位论文质量，预答辩组织实施由各研究所自行决定，预答辩通过后方可参加正式学位答辩。</w:t>
                  </w:r>
                </w:p>
              </w:tc>
              <w:tc>
                <w:tcPr>
                  <w:tcW w:w="0" w:type="auto"/>
                  <w:shd w:val="clear" w:color="auto" w:fill="auto"/>
                  <w:vAlign w:val="center"/>
                </w:tcPr>
                <w:p w14:paraId="7F803B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0453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导师所在的研究所每年秋季学期末组织一次， 第七学期完成</w:t>
                  </w:r>
                </w:p>
              </w:tc>
            </w:tr>
          </w:tbl>
          <w:p w14:paraId="0CA673C4">
            <w:pPr>
              <w:jc w:val="center"/>
            </w:pPr>
          </w:p>
        </w:tc>
      </w:tr>
      <w:tr w14:paraId="150D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C72C284">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6DB1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6B71D1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3675" w:type="dxa"/>
                  <w:shd w:val="clear" w:color="auto" w:fill="auto"/>
                  <w:vAlign w:val="center"/>
                </w:tcPr>
                <w:p w14:paraId="42E8B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02B15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6E7B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30386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9B76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0ADD1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32D23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5065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35188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59FC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5B55600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7223C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56A64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2EDEB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55903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18B46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75822A71">
            <w:pPr>
              <w:jc w:val="center"/>
            </w:pPr>
          </w:p>
        </w:tc>
      </w:tr>
    </w:tbl>
    <w:p w14:paraId="116D7EE2"/>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5CB777CA"/>
    <w:rsid w:val="5CB7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2024-11-13T02:42:00Z</dcterms:created>
  <dc:creator>keshi</dc:creator>
  <cp:lastModifiedBy>keshi</cp:lastModifiedBy>
  <dcterms:modified xsi:type="dcterms:W3CDTF">2024-11-13T02:43:08Z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66D5722A4483489ABE1D284E9D80246D_11</vt:lpwstr>
  </property>
</Properties>
</file>