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42F0A">
      <w:pPr>
        <w:pStyle w:val="2"/>
        <w:keepNext w:val="0"/>
        <w:keepLines w:val="0"/>
        <w:widowControl/>
        <w:suppressLineNumbers w:val="0"/>
        <w:jc w:val="center"/>
        <w:rPr>
          <w:rFonts w:hint="eastAsia" w:ascii="宋体" w:hAnsi="宋体" w:eastAsia="宋体" w:cs="宋体"/>
          <w:sz w:val="24"/>
          <w:szCs w:val="24"/>
        </w:rPr>
      </w:pPr>
      <w:bookmarkStart w:id="0" w:name="_GoBack"/>
      <w:r>
        <w:rPr>
          <w:rFonts w:hint="eastAsia" w:ascii="宋体" w:hAnsi="宋体" w:eastAsia="宋体" w:cs="宋体"/>
          <w:sz w:val="24"/>
          <w:szCs w:val="24"/>
        </w:rPr>
        <w:t>材料与化工工程硕博士专项专业学位研究生培养方案(非全日制)</w:t>
      </w:r>
    </w:p>
    <w:bookmarkEnd w:id="0"/>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73"/>
        <w:gridCol w:w="2576"/>
        <w:gridCol w:w="1079"/>
        <w:gridCol w:w="2622"/>
      </w:tblGrid>
      <w:tr w14:paraId="6E51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A66692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2238A37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化学化工学院、材料与能源学院</w:t>
            </w:r>
          </w:p>
        </w:tc>
        <w:tc>
          <w:tcPr>
            <w:tcW w:w="960" w:type="dxa"/>
            <w:shd w:val="clear" w:color="auto" w:fill="auto"/>
            <w:vAlign w:val="center"/>
          </w:tcPr>
          <w:p w14:paraId="0E2BB7F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0324821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(0856)材料与化工</w:t>
            </w:r>
          </w:p>
        </w:tc>
      </w:tr>
      <w:tr w14:paraId="094F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575AE6B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6DF8102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非全日制</w:t>
            </w:r>
          </w:p>
        </w:tc>
        <w:tc>
          <w:tcPr>
            <w:tcW w:w="0" w:type="auto"/>
            <w:shd w:val="clear" w:color="auto" w:fill="auto"/>
            <w:vAlign w:val="center"/>
          </w:tcPr>
          <w:p w14:paraId="4C1B4FA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18E1897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2024</w:t>
            </w:r>
          </w:p>
        </w:tc>
      </w:tr>
      <w:tr w14:paraId="60E6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77B360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5FE6D44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(085600)材料与化工;(085601)材料工程;(085602)化学工程;</w:t>
            </w:r>
          </w:p>
        </w:tc>
      </w:tr>
      <w:tr w14:paraId="747D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5EEF7B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467"/>
              <w:gridCol w:w="1200"/>
              <w:gridCol w:w="960"/>
              <w:gridCol w:w="960"/>
            </w:tblGrid>
            <w:tr w14:paraId="0F2DCA7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960" w:type="dxa"/>
                  <w:shd w:val="clear" w:color="auto" w:fill="auto"/>
                  <w:vAlign w:val="center"/>
                </w:tcPr>
                <w:p w14:paraId="041D453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3A68BA8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5DFE03C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42CBB95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3C9CE22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3079B73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6E7EB18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6C4005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54BEC58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5F15072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2519C3C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14</w:t>
                  </w:r>
                </w:p>
              </w:tc>
              <w:tc>
                <w:tcPr>
                  <w:tcW w:w="0" w:type="auto"/>
                  <w:shd w:val="clear" w:color="auto" w:fill="auto"/>
                  <w:vAlign w:val="center"/>
                </w:tcPr>
                <w:p w14:paraId="76E1C4B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w:t>
                  </w:r>
                </w:p>
              </w:tc>
              <w:tc>
                <w:tcPr>
                  <w:tcW w:w="0" w:type="auto"/>
                  <w:shd w:val="clear" w:color="auto" w:fill="auto"/>
                  <w:vAlign w:val="center"/>
                </w:tcPr>
                <w:p w14:paraId="6AE8EE7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22</w:t>
                  </w:r>
                </w:p>
              </w:tc>
            </w:tr>
          </w:tbl>
          <w:p w14:paraId="68320F8C">
            <w:pPr>
              <w:jc w:val="center"/>
            </w:pPr>
          </w:p>
        </w:tc>
      </w:tr>
      <w:tr w14:paraId="3337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404977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领域简介</w:t>
            </w:r>
          </w:p>
        </w:tc>
        <w:tc>
          <w:tcPr>
            <w:tcW w:w="6240" w:type="dxa"/>
            <w:gridSpan w:val="3"/>
            <w:shd w:val="clear" w:color="auto" w:fill="auto"/>
            <w:tcMar>
              <w:top w:w="30" w:type="dxa"/>
              <w:left w:w="30" w:type="dxa"/>
              <w:bottom w:w="30" w:type="dxa"/>
              <w:right w:w="30" w:type="dxa"/>
            </w:tcMar>
            <w:vAlign w:val="center"/>
          </w:tcPr>
          <w:p w14:paraId="7FA6AFD9">
            <w:pPr>
              <w:pStyle w:val="3"/>
              <w:keepNext w:val="0"/>
              <w:keepLines w:val="0"/>
              <w:widowControl/>
              <w:suppressLineNumbers w:val="0"/>
              <w:spacing w:line="300" w:lineRule="atLeast"/>
              <w:jc w:val="both"/>
            </w:pPr>
            <w:r>
              <w:t xml:space="preserve">      兰州大学材料与化工博士专业学位类别包括材料工程、化学工程两个专业学位领域。材料工程是研究、开发、生产和应用金属材料、无机非金属材料、高分子材料和复合材料的工程领域，涉及材料的制备、质量的改进，以及使材料成为人们可用的器件或构件的生产工艺、制造技术、工程规划、工程设计、技术经济管理等工程知识，侧重于先进的功能材料和新型纳米材料，在对其基本结构和物性进行充分研究的基础上，进一步研究构建对国民经济和人们日常生活起重要促进作用的功能器件。化学工程是研究化学工业和其他过程工业生产中所进行的化学过程和物理过程共同规律与应用技术的工程领域，它以化学工程学为指导、基础理论与工程应用相结合，进行产品与工艺过程的研发、过程优化、装置设计、操作控制、环境保护、生产管理等内容。如今，随着学科的不断发展，材料与化工和生命科学、环境科学、信息科学等学科相互渗透融合，形成了许多交叉学科、新的研究方向和前沿领域，支撑了其他学科领域的快速发展。</w:t>
            </w:r>
          </w:p>
        </w:tc>
      </w:tr>
      <w:tr w14:paraId="094E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3FF4C4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培养目标及定位</w:t>
            </w:r>
          </w:p>
        </w:tc>
        <w:tc>
          <w:tcPr>
            <w:tcW w:w="6240" w:type="dxa"/>
            <w:gridSpan w:val="3"/>
            <w:shd w:val="clear" w:color="auto" w:fill="auto"/>
            <w:tcMar>
              <w:top w:w="30" w:type="dxa"/>
              <w:left w:w="30" w:type="dxa"/>
              <w:bottom w:w="30" w:type="dxa"/>
              <w:right w:w="30" w:type="dxa"/>
            </w:tcMar>
            <w:vAlign w:val="center"/>
          </w:tcPr>
          <w:p w14:paraId="75A2AC56">
            <w:pPr>
              <w:pStyle w:val="3"/>
              <w:keepNext w:val="0"/>
              <w:keepLines w:val="0"/>
              <w:widowControl/>
              <w:suppressLineNumbers w:val="0"/>
              <w:spacing w:line="300" w:lineRule="atLeast"/>
              <w:jc w:val="both"/>
            </w:pPr>
            <w:r>
              <w:t xml:space="preserve">     以习近平新时代中国特色社会主义思想为指导，全面贯彻党的教育方针，坚持以立德树人为根本，培育和践行社会主义核心价值观，热爱祖国，遵纪守法，具有良好的职业道德和敬业精神，具有科学严谨和求真务实的学习态度和工作作风，具有鲜明的伦理精神和浓郁的民族情怀，有高远的理想追求和强烈的时代特色，具有敏锐的世界眼光，有突出的实践品格，身心健康。 </w:t>
            </w:r>
          </w:p>
          <w:p w14:paraId="7D6776CE">
            <w:pPr>
              <w:pStyle w:val="3"/>
              <w:keepNext w:val="0"/>
              <w:keepLines w:val="0"/>
              <w:widowControl/>
              <w:suppressLineNumbers w:val="0"/>
              <w:spacing w:line="300" w:lineRule="atLeast"/>
              <w:jc w:val="both"/>
            </w:pPr>
            <w:r>
              <w:t xml:space="preserve">       本专业专项试点工程的培养面向经济社会发展和行业创新发展需求，聚焦国家重大战略需求，具备较强工程技术创新创造能力，善于解决复杂工程技术难题培养具有材料与化工领域坚实基础理论和宽广专业知识，掌握解决材料与化工领域实际问题的先进技术与方法，具有创新意识，能独立进行材料与化工方向技术研发、材料创新、工程设计、运行和管理的高层次应用型、复合型高层次工程技术和工程管理人才，以便更好地服务于材料与化工领域专业学位博士研究生的职业发展需求和社会的多元化人才需求。</w:t>
            </w:r>
          </w:p>
        </w:tc>
      </w:tr>
      <w:tr w14:paraId="7536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F8C04A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学习方式及修业年限</w:t>
            </w:r>
          </w:p>
        </w:tc>
        <w:tc>
          <w:tcPr>
            <w:tcW w:w="6240" w:type="dxa"/>
            <w:gridSpan w:val="3"/>
            <w:shd w:val="clear" w:color="auto" w:fill="auto"/>
            <w:tcMar>
              <w:top w:w="30" w:type="dxa"/>
              <w:left w:w="30" w:type="dxa"/>
              <w:bottom w:w="30" w:type="dxa"/>
              <w:right w:w="30" w:type="dxa"/>
            </w:tcMar>
            <w:vAlign w:val="center"/>
          </w:tcPr>
          <w:p w14:paraId="5ADE8BA0">
            <w:pPr>
              <w:pStyle w:val="3"/>
              <w:keepNext w:val="0"/>
              <w:keepLines w:val="0"/>
              <w:widowControl/>
              <w:suppressLineNumbers w:val="0"/>
              <w:spacing w:line="300" w:lineRule="atLeast"/>
              <w:jc w:val="both"/>
            </w:pPr>
            <w:r>
              <w:t xml:space="preserve">     博士研究生采用全日制和非全日制两种学习方式，基本修业年限为4年，最长在学年限为7年；</w:t>
            </w:r>
          </w:p>
          <w:p w14:paraId="3E07FC2A">
            <w:pPr>
              <w:pStyle w:val="3"/>
              <w:keepNext w:val="0"/>
              <w:keepLines w:val="0"/>
              <w:widowControl/>
              <w:suppressLineNumbers w:val="0"/>
              <w:spacing w:line="300" w:lineRule="atLeast"/>
              <w:jc w:val="both"/>
            </w:pPr>
            <w:r>
              <w:t xml:space="preserve">    女性研究生在读期间因生育可在最长学习年限基础上再增加1年；面向企业一线优秀在职技术骨干招收的工程硕博士可根据实际情况，在最长学习年限基础上再增加1年。</w:t>
            </w:r>
          </w:p>
        </w:tc>
      </w:tr>
      <w:tr w14:paraId="790D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18439D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5A68CE66">
            <w:pPr>
              <w:pStyle w:val="3"/>
              <w:keepNext w:val="0"/>
              <w:keepLines w:val="0"/>
              <w:widowControl/>
              <w:suppressLineNumbers w:val="0"/>
              <w:spacing w:line="300" w:lineRule="atLeast"/>
              <w:jc w:val="both"/>
            </w:pPr>
            <w:r>
              <w:t xml:space="preserve">       工程硕博士的培养结合专项试点领域的重大工程技术问题，采取课程学习、专业实践、学位论文相结合的方式。</w:t>
            </w:r>
          </w:p>
          <w:p w14:paraId="58136B78">
            <w:pPr>
              <w:pStyle w:val="3"/>
              <w:keepNext w:val="0"/>
              <w:keepLines w:val="0"/>
              <w:widowControl/>
              <w:suppressLineNumbers w:val="0"/>
              <w:spacing w:line="300" w:lineRule="atLeast"/>
              <w:jc w:val="both"/>
            </w:pPr>
            <w:r>
              <w:t xml:space="preserve">        课程学习是专业博士学位研究生掌握基础理论和专业知识，构建知识结构的主要途径。课程学习须按照培养计划严格执行，其中公共课程、专业基础课程和选修课程主要在培养单位集中学习，校企联合课程、案例课程以及职业素养课程可在培养单位或企业开展。</w:t>
            </w:r>
          </w:p>
          <w:p w14:paraId="25854E49">
            <w:pPr>
              <w:pStyle w:val="3"/>
              <w:keepNext w:val="0"/>
              <w:keepLines w:val="0"/>
              <w:widowControl/>
              <w:suppressLineNumbers w:val="0"/>
              <w:spacing w:line="300" w:lineRule="atLeast"/>
              <w:jc w:val="both"/>
            </w:pPr>
            <w:r>
              <w:t xml:space="preserve">      工程硕博研究生培养采取校企双导师(组)指导制度，我校导师 为第一导师，第二导师为企业专家。双导师(组)共同负责工程硕博士生全过程培养(包括思想品德、学风和职业素养等方面教育)，要求工程硕博士每学期至少汇报两次在课程学习，专业实践、学位论文及 工程技术项目研究等阶段的进展情况，并根据实际情况，协商解决培养过程中的具体问题，为工程硕博士完成课程学习、工程技术项目研究，学位论文撰写等提供切实有效的指导，其中，学校导师重点负责指导工程硕博士的课程学习和学位论文工作涉及的科学研究内容及论文写作；企业导师重点负责指导工程硕博士的专业实践和学位论文 工作涉及的工程实践内容。</w:t>
            </w:r>
          </w:p>
        </w:tc>
      </w:tr>
      <w:tr w14:paraId="7458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33094D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56B7C8A0">
            <w:pPr>
              <w:pStyle w:val="3"/>
              <w:keepNext w:val="0"/>
              <w:keepLines w:val="0"/>
              <w:widowControl/>
              <w:suppressLineNumbers w:val="0"/>
              <w:spacing w:line="300" w:lineRule="atLeast"/>
              <w:jc w:val="both"/>
            </w:pPr>
            <w:r>
              <w:t xml:space="preserve">      学位论文工作须与专业实践紧密联系，选题应直接来源于工程实际，属于相关专业领域亟需解决的重大、重要工程实践问题，应有较好的理论基础和技术创新，具备饱满的工作量。学位论文成果形式可以是工程新技术研究、重大工程设计、新产品或新装置研制等，并以文字形式表述，表明研究生具有独立担负专门技术研发工作，并做出创新性成果的能力。学位论文应由校企双导师(组)共同署名。</w:t>
            </w:r>
          </w:p>
        </w:tc>
      </w:tr>
      <w:tr w14:paraId="4EFE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3F2FD3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学位论文评阅与答辩</w:t>
            </w:r>
          </w:p>
        </w:tc>
        <w:tc>
          <w:tcPr>
            <w:tcW w:w="6240" w:type="dxa"/>
            <w:gridSpan w:val="3"/>
            <w:shd w:val="clear" w:color="auto" w:fill="auto"/>
            <w:tcMar>
              <w:top w:w="30" w:type="dxa"/>
              <w:left w:w="30" w:type="dxa"/>
              <w:bottom w:w="30" w:type="dxa"/>
              <w:right w:w="30" w:type="dxa"/>
            </w:tcMar>
            <w:vAlign w:val="center"/>
          </w:tcPr>
          <w:p w14:paraId="22D7786B">
            <w:pPr>
              <w:pStyle w:val="3"/>
              <w:keepNext w:val="0"/>
              <w:keepLines w:val="0"/>
              <w:widowControl/>
              <w:suppressLineNumbers w:val="0"/>
              <w:spacing w:line="300" w:lineRule="atLeast"/>
              <w:jc w:val="both"/>
            </w:pPr>
            <w:r>
              <w:t>(一)学位论文评阅</w:t>
            </w:r>
          </w:p>
          <w:p w14:paraId="5786A16E">
            <w:pPr>
              <w:pStyle w:val="3"/>
              <w:keepNext w:val="0"/>
              <w:keepLines w:val="0"/>
              <w:widowControl/>
              <w:suppressLineNumbers w:val="0"/>
              <w:spacing w:line="300" w:lineRule="atLeast"/>
              <w:jc w:val="both"/>
            </w:pPr>
            <w:r>
              <w:t xml:space="preserve">        工程硕士的学位论文须由3位相关专业领域具有工程硕士研究生指导资格或具有高级职称的专家评阅，其中企业专家应占半数以上；工程博士的学位论文须由5位相关专业领域具有工程博士研究生指导资格或具有高级职称的专家评阅，其中企业专家应占半数以上。</w:t>
            </w:r>
          </w:p>
          <w:p w14:paraId="2987104D">
            <w:pPr>
              <w:pStyle w:val="3"/>
              <w:keepNext w:val="0"/>
              <w:keepLines w:val="0"/>
              <w:widowControl/>
              <w:suppressLineNumbers w:val="0"/>
              <w:spacing w:line="300" w:lineRule="atLeast"/>
              <w:jc w:val="both"/>
            </w:pPr>
            <w:r>
              <w:t>(二)学位论文答辩</w:t>
            </w:r>
          </w:p>
          <w:p w14:paraId="49A1C7D5">
            <w:pPr>
              <w:pStyle w:val="3"/>
              <w:keepNext w:val="0"/>
              <w:keepLines w:val="0"/>
              <w:widowControl/>
              <w:suppressLineNumbers w:val="0"/>
              <w:spacing w:line="300" w:lineRule="atLeast"/>
              <w:jc w:val="both"/>
            </w:pPr>
            <w:r>
              <w:t xml:space="preserve">       专项试点工程硕博士研究生学位论文答辩由学校和合作企业联合组织专家开展。硕士答辩委员会须至少由3 位相关专业领域具有工 程硕士研究生指导资格或具有高级职称的专家组成，其中企业专家应 占半数以上;博士答辩委员会须至少由5位相关专业领域具有工程博 士研究生指导资格或具有高级职称的专家组成，其中企业专家应占半 数以上。</w:t>
            </w:r>
          </w:p>
          <w:p w14:paraId="6DB52107">
            <w:pPr>
              <w:pStyle w:val="3"/>
              <w:keepNext w:val="0"/>
              <w:keepLines w:val="0"/>
              <w:widowControl/>
              <w:suppressLineNumbers w:val="0"/>
              <w:spacing w:line="300" w:lineRule="atLeast"/>
              <w:jc w:val="both"/>
            </w:pPr>
            <w:r>
              <w:t>(三)毕业和学位授予</w:t>
            </w:r>
          </w:p>
          <w:p w14:paraId="1664E1BA">
            <w:pPr>
              <w:pStyle w:val="3"/>
              <w:keepNext w:val="0"/>
              <w:keepLines w:val="0"/>
              <w:widowControl/>
              <w:suppressLineNumbers w:val="0"/>
              <w:spacing w:line="300" w:lineRule="atLeast"/>
              <w:jc w:val="both"/>
            </w:pPr>
            <w:r>
              <w:t xml:space="preserve">        工程硕博士在规定的修业年限内，按要求完成培养方案中规定的所有环节，成绩合格，符合毕业条件，由学校颁发毕业证书；达到申请学位基本要求，通过学位论文答辩的工程博士，由学校联合企业授予相关工程类别博士学位。</w:t>
            </w:r>
          </w:p>
        </w:tc>
      </w:tr>
      <w:tr w14:paraId="398E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72CDE41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04F8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6"/>
              <w:gridCol w:w="759"/>
              <w:gridCol w:w="1946"/>
              <w:gridCol w:w="438"/>
              <w:gridCol w:w="438"/>
              <w:gridCol w:w="471"/>
              <w:gridCol w:w="1571"/>
              <w:gridCol w:w="751"/>
            </w:tblGrid>
            <w:tr w14:paraId="0AC24A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3840CDA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541F213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10BAF7A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76C4841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0713AB6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46A08C6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16C0CFB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860" w:type="dxa"/>
                  <w:shd w:val="clear" w:color="auto" w:fill="auto"/>
                  <w:vAlign w:val="center"/>
                </w:tcPr>
                <w:p w14:paraId="0703FD3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57F1D09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3FB4E0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1977CC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tc>
              <w:tc>
                <w:tcPr>
                  <w:tcW w:w="0" w:type="auto"/>
                  <w:shd w:val="clear" w:color="auto" w:fill="auto"/>
                  <w:vAlign w:val="center"/>
                </w:tcPr>
                <w:p w14:paraId="468ED9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7735D9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14B276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A93F2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C1E2F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E36A8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DA0557D">
                  <w:pPr>
                    <w:jc w:val="center"/>
                    <w:rPr>
                      <w:rFonts w:hint="eastAsia" w:ascii="宋体"/>
                      <w:sz w:val="10"/>
                      <w:szCs w:val="10"/>
                    </w:rPr>
                  </w:pPr>
                </w:p>
              </w:tc>
            </w:tr>
            <w:tr w14:paraId="09FD2B7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64AE3B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专业基础课</w:t>
                  </w:r>
                </w:p>
                <w:p w14:paraId="07B03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6学分 </w:t>
                  </w:r>
                </w:p>
              </w:tc>
              <w:tc>
                <w:tcPr>
                  <w:tcW w:w="0" w:type="auto"/>
                  <w:shd w:val="clear" w:color="auto" w:fill="auto"/>
                  <w:vAlign w:val="center"/>
                </w:tcPr>
                <w:p w14:paraId="4B4FAF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405162017</w:t>
                  </w:r>
                </w:p>
              </w:tc>
              <w:tc>
                <w:tcPr>
                  <w:tcW w:w="0" w:type="auto"/>
                  <w:shd w:val="clear" w:color="auto" w:fill="auto"/>
                  <w:vAlign w:val="center"/>
                </w:tcPr>
                <w:p w14:paraId="59D44B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7CC303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F76BC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0239A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4BBD18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72A136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双语教学 </w:t>
                  </w:r>
                </w:p>
              </w:tc>
            </w:tr>
            <w:tr w14:paraId="1B8F5C1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D5DA87E">
                  <w:pPr>
                    <w:jc w:val="center"/>
                    <w:rPr>
                      <w:rFonts w:hint="eastAsia" w:ascii="宋体"/>
                      <w:sz w:val="10"/>
                      <w:szCs w:val="10"/>
                    </w:rPr>
                  </w:pPr>
                </w:p>
              </w:tc>
              <w:tc>
                <w:tcPr>
                  <w:tcW w:w="0" w:type="auto"/>
                  <w:shd w:val="clear" w:color="auto" w:fill="auto"/>
                  <w:vAlign w:val="center"/>
                </w:tcPr>
                <w:p w14:paraId="50091A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412173005</w:t>
                  </w:r>
                </w:p>
              </w:tc>
              <w:tc>
                <w:tcPr>
                  <w:tcW w:w="0" w:type="auto"/>
                  <w:shd w:val="clear" w:color="auto" w:fill="auto"/>
                  <w:vAlign w:val="center"/>
                </w:tcPr>
                <w:p w14:paraId="5D3E01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先进材料与器件导论</w:t>
                  </w:r>
                </w:p>
              </w:tc>
              <w:tc>
                <w:tcPr>
                  <w:tcW w:w="0" w:type="auto"/>
                  <w:shd w:val="clear" w:color="auto" w:fill="auto"/>
                  <w:vAlign w:val="center"/>
                </w:tcPr>
                <w:p w14:paraId="4A4295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D3A5C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BAE77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vMerge w:val="restart"/>
                  <w:shd w:val="clear" w:color="auto" w:fill="auto"/>
                  <w:vAlign w:val="center"/>
                </w:tcPr>
                <w:p w14:paraId="3BCD4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6 选 2,最小 4学分, 必修 </w:t>
                  </w:r>
                </w:p>
              </w:tc>
              <w:tc>
                <w:tcPr>
                  <w:tcW w:w="860" w:type="dxa"/>
                  <w:shd w:val="clear" w:color="auto" w:fill="auto"/>
                  <w:vAlign w:val="center"/>
                </w:tcPr>
                <w:p w14:paraId="4D617B71">
                  <w:pPr>
                    <w:jc w:val="center"/>
                    <w:rPr>
                      <w:rFonts w:hint="eastAsia" w:ascii="宋体"/>
                      <w:sz w:val="10"/>
                      <w:szCs w:val="10"/>
                    </w:rPr>
                  </w:pPr>
                </w:p>
              </w:tc>
            </w:tr>
            <w:tr w14:paraId="7F68C29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944D8DB">
                  <w:pPr>
                    <w:jc w:val="center"/>
                    <w:rPr>
                      <w:rFonts w:hint="eastAsia" w:ascii="宋体"/>
                      <w:sz w:val="10"/>
                      <w:szCs w:val="10"/>
                    </w:rPr>
                  </w:pPr>
                </w:p>
              </w:tc>
              <w:tc>
                <w:tcPr>
                  <w:tcW w:w="0" w:type="auto"/>
                  <w:shd w:val="clear" w:color="auto" w:fill="auto"/>
                  <w:vAlign w:val="center"/>
                </w:tcPr>
                <w:p w14:paraId="68EA03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412172004</w:t>
                  </w:r>
                </w:p>
              </w:tc>
              <w:tc>
                <w:tcPr>
                  <w:tcW w:w="0" w:type="auto"/>
                  <w:shd w:val="clear" w:color="auto" w:fill="auto"/>
                  <w:vAlign w:val="center"/>
                </w:tcPr>
                <w:p w14:paraId="77D337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材料与新能源实验方法</w:t>
                  </w:r>
                </w:p>
              </w:tc>
              <w:tc>
                <w:tcPr>
                  <w:tcW w:w="0" w:type="auto"/>
                  <w:shd w:val="clear" w:color="auto" w:fill="auto"/>
                  <w:vAlign w:val="center"/>
                </w:tcPr>
                <w:p w14:paraId="6D9BCF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27149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5C479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vMerge w:val="continue"/>
                  <w:shd w:val="clear" w:color="auto" w:fill="auto"/>
                  <w:vAlign w:val="center"/>
                </w:tcPr>
                <w:p w14:paraId="2520BC5B">
                  <w:pPr>
                    <w:jc w:val="center"/>
                    <w:rPr>
                      <w:rFonts w:hint="eastAsia" w:ascii="宋体"/>
                      <w:sz w:val="10"/>
                      <w:szCs w:val="10"/>
                    </w:rPr>
                  </w:pPr>
                </w:p>
              </w:tc>
              <w:tc>
                <w:tcPr>
                  <w:tcW w:w="860" w:type="dxa"/>
                  <w:shd w:val="clear" w:color="auto" w:fill="auto"/>
                  <w:vAlign w:val="center"/>
                </w:tcPr>
                <w:p w14:paraId="44A0A371">
                  <w:pPr>
                    <w:jc w:val="center"/>
                    <w:rPr>
                      <w:rFonts w:hint="eastAsia" w:ascii="宋体"/>
                      <w:sz w:val="10"/>
                      <w:szCs w:val="10"/>
                    </w:rPr>
                  </w:pPr>
                </w:p>
              </w:tc>
            </w:tr>
            <w:tr w14:paraId="1FFAC04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64B4145">
                  <w:pPr>
                    <w:jc w:val="center"/>
                    <w:rPr>
                      <w:rFonts w:hint="eastAsia" w:ascii="宋体"/>
                      <w:sz w:val="10"/>
                      <w:szCs w:val="10"/>
                    </w:rPr>
                  </w:pPr>
                </w:p>
              </w:tc>
              <w:tc>
                <w:tcPr>
                  <w:tcW w:w="0" w:type="auto"/>
                  <w:shd w:val="clear" w:color="auto" w:fill="auto"/>
                  <w:vAlign w:val="center"/>
                </w:tcPr>
                <w:p w14:paraId="75C9AA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402133007</w:t>
                  </w:r>
                </w:p>
              </w:tc>
              <w:tc>
                <w:tcPr>
                  <w:tcW w:w="0" w:type="auto"/>
                  <w:shd w:val="clear" w:color="auto" w:fill="auto"/>
                  <w:vAlign w:val="center"/>
                </w:tcPr>
                <w:p w14:paraId="072A65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材料科学前沿讲座</w:t>
                  </w:r>
                </w:p>
              </w:tc>
              <w:tc>
                <w:tcPr>
                  <w:tcW w:w="0" w:type="auto"/>
                  <w:shd w:val="clear" w:color="auto" w:fill="auto"/>
                  <w:vAlign w:val="center"/>
                </w:tcPr>
                <w:p w14:paraId="51E585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04895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20</w:t>
                  </w:r>
                </w:p>
              </w:tc>
              <w:tc>
                <w:tcPr>
                  <w:tcW w:w="0" w:type="auto"/>
                  <w:shd w:val="clear" w:color="auto" w:fill="auto"/>
                  <w:vAlign w:val="center"/>
                </w:tcPr>
                <w:p w14:paraId="54DBAA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42A50DD5">
                  <w:pPr>
                    <w:jc w:val="center"/>
                    <w:rPr>
                      <w:rFonts w:hint="eastAsia" w:ascii="宋体"/>
                      <w:sz w:val="10"/>
                      <w:szCs w:val="10"/>
                    </w:rPr>
                  </w:pPr>
                </w:p>
              </w:tc>
              <w:tc>
                <w:tcPr>
                  <w:tcW w:w="860" w:type="dxa"/>
                  <w:shd w:val="clear" w:color="auto" w:fill="auto"/>
                  <w:vAlign w:val="center"/>
                </w:tcPr>
                <w:p w14:paraId="1A9999E8">
                  <w:pPr>
                    <w:jc w:val="center"/>
                    <w:rPr>
                      <w:rFonts w:hint="eastAsia" w:ascii="宋体"/>
                      <w:sz w:val="10"/>
                      <w:szCs w:val="10"/>
                    </w:rPr>
                  </w:pPr>
                </w:p>
              </w:tc>
            </w:tr>
            <w:tr w14:paraId="14DA9FF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B6A12B1">
                  <w:pPr>
                    <w:jc w:val="center"/>
                    <w:rPr>
                      <w:rFonts w:hint="eastAsia" w:ascii="宋体"/>
                      <w:sz w:val="10"/>
                      <w:szCs w:val="10"/>
                    </w:rPr>
                  </w:pPr>
                </w:p>
              </w:tc>
              <w:tc>
                <w:tcPr>
                  <w:tcW w:w="0" w:type="auto"/>
                  <w:shd w:val="clear" w:color="auto" w:fill="auto"/>
                  <w:vAlign w:val="center"/>
                </w:tcPr>
                <w:p w14:paraId="682F0A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405141102</w:t>
                  </w:r>
                </w:p>
              </w:tc>
              <w:tc>
                <w:tcPr>
                  <w:tcW w:w="0" w:type="auto"/>
                  <w:shd w:val="clear" w:color="auto" w:fill="auto"/>
                  <w:vAlign w:val="center"/>
                </w:tcPr>
                <w:p w14:paraId="68BB3B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稀土化学前沿</w:t>
                  </w:r>
                </w:p>
              </w:tc>
              <w:tc>
                <w:tcPr>
                  <w:tcW w:w="0" w:type="auto"/>
                  <w:shd w:val="clear" w:color="auto" w:fill="auto"/>
                  <w:vAlign w:val="center"/>
                </w:tcPr>
                <w:p w14:paraId="799185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3EA3D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FD695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334EFFAF">
                  <w:pPr>
                    <w:jc w:val="center"/>
                    <w:rPr>
                      <w:rFonts w:hint="eastAsia" w:ascii="宋体"/>
                      <w:sz w:val="10"/>
                      <w:szCs w:val="10"/>
                    </w:rPr>
                  </w:pPr>
                </w:p>
              </w:tc>
              <w:tc>
                <w:tcPr>
                  <w:tcW w:w="860" w:type="dxa"/>
                  <w:shd w:val="clear" w:color="auto" w:fill="auto"/>
                  <w:vAlign w:val="center"/>
                </w:tcPr>
                <w:p w14:paraId="777D182D">
                  <w:pPr>
                    <w:jc w:val="center"/>
                    <w:rPr>
                      <w:rFonts w:hint="eastAsia" w:ascii="宋体"/>
                      <w:sz w:val="10"/>
                      <w:szCs w:val="10"/>
                    </w:rPr>
                  </w:pPr>
                </w:p>
              </w:tc>
            </w:tr>
            <w:tr w14:paraId="7FF1122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AF6CDA6">
                  <w:pPr>
                    <w:jc w:val="center"/>
                    <w:rPr>
                      <w:rFonts w:hint="eastAsia" w:ascii="宋体"/>
                      <w:sz w:val="10"/>
                      <w:szCs w:val="10"/>
                    </w:rPr>
                  </w:pPr>
                </w:p>
              </w:tc>
              <w:tc>
                <w:tcPr>
                  <w:tcW w:w="0" w:type="auto"/>
                  <w:shd w:val="clear" w:color="auto" w:fill="auto"/>
                  <w:vAlign w:val="center"/>
                </w:tcPr>
                <w:p w14:paraId="3DB65E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405141206</w:t>
                  </w:r>
                </w:p>
              </w:tc>
              <w:tc>
                <w:tcPr>
                  <w:tcW w:w="0" w:type="auto"/>
                  <w:shd w:val="clear" w:color="auto" w:fill="auto"/>
                  <w:vAlign w:val="center"/>
                </w:tcPr>
                <w:p w14:paraId="0DA5D3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高等光谱分析</w:t>
                  </w:r>
                </w:p>
              </w:tc>
              <w:tc>
                <w:tcPr>
                  <w:tcW w:w="0" w:type="auto"/>
                  <w:shd w:val="clear" w:color="auto" w:fill="auto"/>
                  <w:vAlign w:val="center"/>
                </w:tcPr>
                <w:p w14:paraId="07E4EF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63D23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8C125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0E9344CE">
                  <w:pPr>
                    <w:jc w:val="center"/>
                    <w:rPr>
                      <w:rFonts w:hint="eastAsia" w:ascii="宋体"/>
                      <w:sz w:val="10"/>
                      <w:szCs w:val="10"/>
                    </w:rPr>
                  </w:pPr>
                </w:p>
              </w:tc>
              <w:tc>
                <w:tcPr>
                  <w:tcW w:w="860" w:type="dxa"/>
                  <w:shd w:val="clear" w:color="auto" w:fill="auto"/>
                  <w:vAlign w:val="center"/>
                </w:tcPr>
                <w:p w14:paraId="196C9D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隔年开课 </w:t>
                  </w:r>
                </w:p>
              </w:tc>
            </w:tr>
            <w:tr w14:paraId="607D8B5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41A05E8">
                  <w:pPr>
                    <w:jc w:val="center"/>
                    <w:rPr>
                      <w:rFonts w:hint="eastAsia" w:ascii="宋体"/>
                      <w:sz w:val="10"/>
                      <w:szCs w:val="10"/>
                    </w:rPr>
                  </w:pPr>
                </w:p>
              </w:tc>
              <w:tc>
                <w:tcPr>
                  <w:tcW w:w="0" w:type="auto"/>
                  <w:shd w:val="clear" w:color="auto" w:fill="auto"/>
                  <w:vAlign w:val="center"/>
                </w:tcPr>
                <w:p w14:paraId="7A326C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405141304</w:t>
                  </w:r>
                </w:p>
              </w:tc>
              <w:tc>
                <w:tcPr>
                  <w:tcW w:w="0" w:type="auto"/>
                  <w:shd w:val="clear" w:color="auto" w:fill="auto"/>
                  <w:vAlign w:val="center"/>
                </w:tcPr>
                <w:p w14:paraId="55B22D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有机材料化学导论</w:t>
                  </w:r>
                </w:p>
              </w:tc>
              <w:tc>
                <w:tcPr>
                  <w:tcW w:w="0" w:type="auto"/>
                  <w:shd w:val="clear" w:color="auto" w:fill="auto"/>
                  <w:vAlign w:val="center"/>
                </w:tcPr>
                <w:p w14:paraId="21212A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19434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5AF6F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50ACECD5">
                  <w:pPr>
                    <w:jc w:val="center"/>
                    <w:rPr>
                      <w:rFonts w:hint="eastAsia" w:ascii="宋体"/>
                      <w:sz w:val="10"/>
                      <w:szCs w:val="10"/>
                    </w:rPr>
                  </w:pPr>
                </w:p>
              </w:tc>
              <w:tc>
                <w:tcPr>
                  <w:tcW w:w="860" w:type="dxa"/>
                  <w:shd w:val="clear" w:color="auto" w:fill="auto"/>
                  <w:vAlign w:val="center"/>
                </w:tcPr>
                <w:p w14:paraId="52166ACE">
                  <w:pPr>
                    <w:jc w:val="center"/>
                    <w:rPr>
                      <w:rFonts w:hint="eastAsia" w:ascii="宋体"/>
                      <w:sz w:val="10"/>
                      <w:szCs w:val="10"/>
                    </w:rPr>
                  </w:pPr>
                </w:p>
              </w:tc>
            </w:tr>
            <w:tr w14:paraId="6B293F9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38634A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专业选修课</w:t>
                  </w:r>
                </w:p>
                <w:p w14:paraId="4393E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6学分 </w:t>
                  </w:r>
                </w:p>
              </w:tc>
              <w:tc>
                <w:tcPr>
                  <w:tcW w:w="0" w:type="auto"/>
                  <w:shd w:val="clear" w:color="auto" w:fill="auto"/>
                  <w:vAlign w:val="center"/>
                </w:tcPr>
                <w:p w14:paraId="65530D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405172030</w:t>
                  </w:r>
                </w:p>
              </w:tc>
              <w:tc>
                <w:tcPr>
                  <w:tcW w:w="0" w:type="auto"/>
                  <w:shd w:val="clear" w:color="auto" w:fill="auto"/>
                  <w:vAlign w:val="center"/>
                </w:tcPr>
                <w:p w14:paraId="76E777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工业催化基础与前沿</w:t>
                  </w:r>
                </w:p>
              </w:tc>
              <w:tc>
                <w:tcPr>
                  <w:tcW w:w="0" w:type="auto"/>
                  <w:shd w:val="clear" w:color="auto" w:fill="auto"/>
                  <w:vAlign w:val="center"/>
                </w:tcPr>
                <w:p w14:paraId="313FF2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DA9A8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31CA3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538EA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8 选 2,最小 6学分, 必修 </w:t>
                  </w:r>
                </w:p>
              </w:tc>
              <w:tc>
                <w:tcPr>
                  <w:tcW w:w="860" w:type="dxa"/>
                  <w:shd w:val="clear" w:color="auto" w:fill="auto"/>
                  <w:vAlign w:val="center"/>
                </w:tcPr>
                <w:p w14:paraId="655CC672">
                  <w:pPr>
                    <w:jc w:val="center"/>
                    <w:rPr>
                      <w:rFonts w:hint="eastAsia" w:ascii="宋体"/>
                      <w:sz w:val="10"/>
                      <w:szCs w:val="10"/>
                    </w:rPr>
                  </w:pPr>
                </w:p>
              </w:tc>
            </w:tr>
            <w:tr w14:paraId="337D647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B7CB9FC">
                  <w:pPr>
                    <w:jc w:val="center"/>
                    <w:rPr>
                      <w:rFonts w:hint="eastAsia" w:ascii="宋体"/>
                      <w:sz w:val="10"/>
                      <w:szCs w:val="10"/>
                    </w:rPr>
                  </w:pPr>
                </w:p>
              </w:tc>
              <w:tc>
                <w:tcPr>
                  <w:tcW w:w="0" w:type="auto"/>
                  <w:shd w:val="clear" w:color="auto" w:fill="auto"/>
                  <w:vAlign w:val="center"/>
                </w:tcPr>
                <w:p w14:paraId="045F34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405141501</w:t>
                  </w:r>
                </w:p>
              </w:tc>
              <w:tc>
                <w:tcPr>
                  <w:tcW w:w="0" w:type="auto"/>
                  <w:shd w:val="clear" w:color="auto" w:fill="auto"/>
                  <w:vAlign w:val="center"/>
                </w:tcPr>
                <w:p w14:paraId="5DA680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高分子科学研究进展</w:t>
                  </w:r>
                </w:p>
              </w:tc>
              <w:tc>
                <w:tcPr>
                  <w:tcW w:w="0" w:type="auto"/>
                  <w:shd w:val="clear" w:color="auto" w:fill="auto"/>
                  <w:vAlign w:val="center"/>
                </w:tcPr>
                <w:p w14:paraId="04BFC5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C8A07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29725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6EE59649">
                  <w:pPr>
                    <w:jc w:val="center"/>
                    <w:rPr>
                      <w:rFonts w:hint="eastAsia" w:ascii="宋体"/>
                      <w:sz w:val="10"/>
                      <w:szCs w:val="10"/>
                    </w:rPr>
                  </w:pPr>
                </w:p>
              </w:tc>
              <w:tc>
                <w:tcPr>
                  <w:tcW w:w="860" w:type="dxa"/>
                  <w:shd w:val="clear" w:color="auto" w:fill="auto"/>
                  <w:vAlign w:val="center"/>
                </w:tcPr>
                <w:p w14:paraId="27271210">
                  <w:pPr>
                    <w:jc w:val="center"/>
                    <w:rPr>
                      <w:rFonts w:hint="eastAsia" w:ascii="宋体"/>
                      <w:sz w:val="10"/>
                      <w:szCs w:val="10"/>
                    </w:rPr>
                  </w:pPr>
                </w:p>
              </w:tc>
            </w:tr>
            <w:tr w14:paraId="2216285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FA8DD0B">
                  <w:pPr>
                    <w:jc w:val="center"/>
                    <w:rPr>
                      <w:rFonts w:hint="eastAsia" w:ascii="宋体"/>
                      <w:sz w:val="10"/>
                      <w:szCs w:val="10"/>
                    </w:rPr>
                  </w:pPr>
                </w:p>
              </w:tc>
              <w:tc>
                <w:tcPr>
                  <w:tcW w:w="0" w:type="auto"/>
                  <w:shd w:val="clear" w:color="auto" w:fill="auto"/>
                  <w:vAlign w:val="center"/>
                </w:tcPr>
                <w:p w14:paraId="4BF558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405143106</w:t>
                  </w:r>
                </w:p>
              </w:tc>
              <w:tc>
                <w:tcPr>
                  <w:tcW w:w="0" w:type="auto"/>
                  <w:shd w:val="clear" w:color="auto" w:fill="auto"/>
                  <w:vAlign w:val="center"/>
                </w:tcPr>
                <w:p w14:paraId="71D2E4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结构分析</w:t>
                  </w:r>
                </w:p>
              </w:tc>
              <w:tc>
                <w:tcPr>
                  <w:tcW w:w="0" w:type="auto"/>
                  <w:shd w:val="clear" w:color="auto" w:fill="auto"/>
                  <w:vAlign w:val="center"/>
                </w:tcPr>
                <w:p w14:paraId="714234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EE916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661C1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5AF24A2A">
                  <w:pPr>
                    <w:jc w:val="center"/>
                    <w:rPr>
                      <w:rFonts w:hint="eastAsia" w:ascii="宋体"/>
                      <w:sz w:val="10"/>
                      <w:szCs w:val="10"/>
                    </w:rPr>
                  </w:pPr>
                </w:p>
              </w:tc>
              <w:tc>
                <w:tcPr>
                  <w:tcW w:w="860" w:type="dxa"/>
                  <w:shd w:val="clear" w:color="auto" w:fill="auto"/>
                  <w:vAlign w:val="center"/>
                </w:tcPr>
                <w:p w14:paraId="12D06F1D">
                  <w:pPr>
                    <w:jc w:val="center"/>
                    <w:rPr>
                      <w:rFonts w:hint="eastAsia" w:ascii="宋体"/>
                      <w:sz w:val="10"/>
                      <w:szCs w:val="10"/>
                    </w:rPr>
                  </w:pPr>
                </w:p>
              </w:tc>
            </w:tr>
            <w:tr w14:paraId="12268D2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C1DD1A0">
                  <w:pPr>
                    <w:jc w:val="center"/>
                    <w:rPr>
                      <w:rFonts w:hint="eastAsia" w:ascii="宋体"/>
                      <w:sz w:val="10"/>
                      <w:szCs w:val="10"/>
                    </w:rPr>
                  </w:pPr>
                </w:p>
              </w:tc>
              <w:tc>
                <w:tcPr>
                  <w:tcW w:w="0" w:type="auto"/>
                  <w:shd w:val="clear" w:color="auto" w:fill="auto"/>
                  <w:vAlign w:val="center"/>
                </w:tcPr>
                <w:p w14:paraId="59F5D8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405162003</w:t>
                  </w:r>
                </w:p>
              </w:tc>
              <w:tc>
                <w:tcPr>
                  <w:tcW w:w="0" w:type="auto"/>
                  <w:shd w:val="clear" w:color="auto" w:fill="auto"/>
                  <w:vAlign w:val="center"/>
                </w:tcPr>
                <w:p w14:paraId="7F19CB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化学反应工程分析</w:t>
                  </w:r>
                </w:p>
              </w:tc>
              <w:tc>
                <w:tcPr>
                  <w:tcW w:w="0" w:type="auto"/>
                  <w:shd w:val="clear" w:color="auto" w:fill="auto"/>
                  <w:vAlign w:val="center"/>
                </w:tcPr>
                <w:p w14:paraId="005035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FF840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5803E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vMerge w:val="continue"/>
                  <w:shd w:val="clear" w:color="auto" w:fill="auto"/>
                  <w:vAlign w:val="center"/>
                </w:tcPr>
                <w:p w14:paraId="37027DCA">
                  <w:pPr>
                    <w:jc w:val="center"/>
                    <w:rPr>
                      <w:rFonts w:hint="eastAsia" w:ascii="宋体"/>
                      <w:sz w:val="10"/>
                      <w:szCs w:val="10"/>
                    </w:rPr>
                  </w:pPr>
                </w:p>
              </w:tc>
              <w:tc>
                <w:tcPr>
                  <w:tcW w:w="860" w:type="dxa"/>
                  <w:shd w:val="clear" w:color="auto" w:fill="auto"/>
                  <w:vAlign w:val="center"/>
                </w:tcPr>
                <w:p w14:paraId="04507150">
                  <w:pPr>
                    <w:jc w:val="center"/>
                    <w:rPr>
                      <w:rFonts w:hint="eastAsia" w:ascii="宋体"/>
                      <w:sz w:val="10"/>
                      <w:szCs w:val="10"/>
                    </w:rPr>
                  </w:pPr>
                </w:p>
              </w:tc>
            </w:tr>
            <w:tr w14:paraId="5937CF0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C57A275">
                  <w:pPr>
                    <w:jc w:val="center"/>
                    <w:rPr>
                      <w:rFonts w:hint="eastAsia" w:ascii="宋体"/>
                      <w:sz w:val="10"/>
                      <w:szCs w:val="10"/>
                    </w:rPr>
                  </w:pPr>
                </w:p>
              </w:tc>
              <w:tc>
                <w:tcPr>
                  <w:tcW w:w="0" w:type="auto"/>
                  <w:shd w:val="clear" w:color="auto" w:fill="auto"/>
                  <w:vAlign w:val="center"/>
                </w:tcPr>
                <w:p w14:paraId="1719EC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402172021</w:t>
                  </w:r>
                </w:p>
              </w:tc>
              <w:tc>
                <w:tcPr>
                  <w:tcW w:w="0" w:type="auto"/>
                  <w:shd w:val="clear" w:color="auto" w:fill="auto"/>
                  <w:vAlign w:val="center"/>
                </w:tcPr>
                <w:p w14:paraId="2A8131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3E37E9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56762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CD79B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3C10A7B1">
                  <w:pPr>
                    <w:jc w:val="center"/>
                    <w:rPr>
                      <w:rFonts w:hint="eastAsia" w:ascii="宋体"/>
                      <w:sz w:val="10"/>
                      <w:szCs w:val="10"/>
                    </w:rPr>
                  </w:pPr>
                </w:p>
              </w:tc>
              <w:tc>
                <w:tcPr>
                  <w:tcW w:w="860" w:type="dxa"/>
                  <w:shd w:val="clear" w:color="auto" w:fill="auto"/>
                  <w:vAlign w:val="center"/>
                </w:tcPr>
                <w:p w14:paraId="24BE90B1">
                  <w:pPr>
                    <w:jc w:val="center"/>
                    <w:rPr>
                      <w:rFonts w:hint="eastAsia" w:ascii="宋体"/>
                      <w:sz w:val="10"/>
                      <w:szCs w:val="10"/>
                    </w:rPr>
                  </w:pPr>
                </w:p>
              </w:tc>
            </w:tr>
            <w:tr w14:paraId="0065EE0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C10C153">
                  <w:pPr>
                    <w:jc w:val="center"/>
                    <w:rPr>
                      <w:rFonts w:hint="eastAsia" w:ascii="宋体"/>
                      <w:sz w:val="10"/>
                      <w:szCs w:val="10"/>
                    </w:rPr>
                  </w:pPr>
                </w:p>
              </w:tc>
              <w:tc>
                <w:tcPr>
                  <w:tcW w:w="0" w:type="auto"/>
                  <w:shd w:val="clear" w:color="auto" w:fill="auto"/>
                  <w:vAlign w:val="center"/>
                </w:tcPr>
                <w:p w14:paraId="05276D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402172022</w:t>
                  </w:r>
                </w:p>
              </w:tc>
              <w:tc>
                <w:tcPr>
                  <w:tcW w:w="0" w:type="auto"/>
                  <w:shd w:val="clear" w:color="auto" w:fill="auto"/>
                  <w:vAlign w:val="center"/>
                </w:tcPr>
                <w:p w14:paraId="712A29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固体物理Ⅰ</w:t>
                  </w:r>
                </w:p>
              </w:tc>
              <w:tc>
                <w:tcPr>
                  <w:tcW w:w="0" w:type="auto"/>
                  <w:shd w:val="clear" w:color="auto" w:fill="auto"/>
                  <w:vAlign w:val="center"/>
                </w:tcPr>
                <w:p w14:paraId="07BEEF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1E2C5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504893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0594BB12">
                  <w:pPr>
                    <w:jc w:val="center"/>
                    <w:rPr>
                      <w:rFonts w:hint="eastAsia" w:ascii="宋体"/>
                      <w:sz w:val="10"/>
                      <w:szCs w:val="10"/>
                    </w:rPr>
                  </w:pPr>
                </w:p>
              </w:tc>
              <w:tc>
                <w:tcPr>
                  <w:tcW w:w="860" w:type="dxa"/>
                  <w:shd w:val="clear" w:color="auto" w:fill="auto"/>
                  <w:vAlign w:val="center"/>
                </w:tcPr>
                <w:p w14:paraId="42408ED8">
                  <w:pPr>
                    <w:jc w:val="center"/>
                    <w:rPr>
                      <w:rFonts w:hint="eastAsia" w:ascii="宋体"/>
                      <w:sz w:val="10"/>
                      <w:szCs w:val="10"/>
                    </w:rPr>
                  </w:pPr>
                </w:p>
              </w:tc>
            </w:tr>
            <w:tr w14:paraId="77B34FD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A8DCE7D">
                  <w:pPr>
                    <w:jc w:val="center"/>
                    <w:rPr>
                      <w:rFonts w:hint="eastAsia" w:ascii="宋体"/>
                      <w:sz w:val="10"/>
                      <w:szCs w:val="10"/>
                    </w:rPr>
                  </w:pPr>
                </w:p>
              </w:tc>
              <w:tc>
                <w:tcPr>
                  <w:tcW w:w="0" w:type="auto"/>
                  <w:shd w:val="clear" w:color="auto" w:fill="auto"/>
                  <w:vAlign w:val="center"/>
                </w:tcPr>
                <w:p w14:paraId="714823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412173006</w:t>
                  </w:r>
                </w:p>
              </w:tc>
              <w:tc>
                <w:tcPr>
                  <w:tcW w:w="0" w:type="auto"/>
                  <w:shd w:val="clear" w:color="auto" w:fill="auto"/>
                  <w:vAlign w:val="center"/>
                </w:tcPr>
                <w:p w14:paraId="4CF192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2EE4D4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2F66F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99917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05057C74">
                  <w:pPr>
                    <w:jc w:val="center"/>
                    <w:rPr>
                      <w:rFonts w:hint="eastAsia" w:ascii="宋体"/>
                      <w:sz w:val="10"/>
                      <w:szCs w:val="10"/>
                    </w:rPr>
                  </w:pPr>
                </w:p>
              </w:tc>
              <w:tc>
                <w:tcPr>
                  <w:tcW w:w="860" w:type="dxa"/>
                  <w:shd w:val="clear" w:color="auto" w:fill="auto"/>
                  <w:vAlign w:val="center"/>
                </w:tcPr>
                <w:p w14:paraId="096B1B84">
                  <w:pPr>
                    <w:jc w:val="center"/>
                    <w:rPr>
                      <w:rFonts w:hint="eastAsia" w:ascii="宋体"/>
                      <w:sz w:val="10"/>
                      <w:szCs w:val="10"/>
                    </w:rPr>
                  </w:pPr>
                </w:p>
              </w:tc>
            </w:tr>
            <w:tr w14:paraId="4D5D74F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A788BF0">
                  <w:pPr>
                    <w:jc w:val="center"/>
                    <w:rPr>
                      <w:rFonts w:hint="eastAsia" w:ascii="宋体"/>
                      <w:sz w:val="10"/>
                      <w:szCs w:val="10"/>
                    </w:rPr>
                  </w:pPr>
                </w:p>
              </w:tc>
              <w:tc>
                <w:tcPr>
                  <w:tcW w:w="0" w:type="auto"/>
                  <w:shd w:val="clear" w:color="auto" w:fill="auto"/>
                  <w:vAlign w:val="center"/>
                </w:tcPr>
                <w:p w14:paraId="0D6F27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0AF86B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547A2E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D294F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4C129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vMerge w:val="continue"/>
                  <w:shd w:val="clear" w:color="auto" w:fill="auto"/>
                  <w:vAlign w:val="center"/>
                </w:tcPr>
                <w:p w14:paraId="0A46E788">
                  <w:pPr>
                    <w:jc w:val="center"/>
                    <w:rPr>
                      <w:rFonts w:hint="eastAsia" w:ascii="宋体"/>
                      <w:sz w:val="10"/>
                      <w:szCs w:val="10"/>
                    </w:rPr>
                  </w:pPr>
                </w:p>
              </w:tc>
              <w:tc>
                <w:tcPr>
                  <w:tcW w:w="860" w:type="dxa"/>
                  <w:shd w:val="clear" w:color="auto" w:fill="auto"/>
                  <w:vAlign w:val="center"/>
                </w:tcPr>
                <w:p w14:paraId="1362110C">
                  <w:pPr>
                    <w:jc w:val="center"/>
                    <w:rPr>
                      <w:rFonts w:hint="eastAsia" w:ascii="宋体"/>
                      <w:sz w:val="10"/>
                      <w:szCs w:val="10"/>
                    </w:rPr>
                  </w:pPr>
                </w:p>
              </w:tc>
            </w:tr>
            <w:tr w14:paraId="66D38C3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5822C8A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跨学科(模块)课程 </w:t>
                  </w:r>
                </w:p>
                <w:p w14:paraId="0DAF5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0学分 </w:t>
                  </w:r>
                </w:p>
              </w:tc>
              <w:tc>
                <w:tcPr>
                  <w:tcW w:w="0" w:type="auto"/>
                  <w:shd w:val="clear" w:color="auto" w:fill="auto"/>
                  <w:vAlign w:val="center"/>
                </w:tcPr>
                <w:p w14:paraId="3EB229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博士生</w:t>
                  </w:r>
                </w:p>
              </w:tc>
              <w:tc>
                <w:tcPr>
                  <w:tcW w:w="5440" w:type="dxa"/>
                  <w:gridSpan w:val="6"/>
                  <w:shd w:val="clear" w:color="auto" w:fill="auto"/>
                  <w:vAlign w:val="center"/>
                </w:tcPr>
                <w:p w14:paraId="4EF9893F">
                  <w:pPr>
                    <w:pStyle w:val="3"/>
                    <w:keepNext w:val="0"/>
                    <w:keepLines w:val="0"/>
                    <w:widowControl/>
                    <w:suppressLineNumbers w:val="0"/>
                    <w:spacing w:line="300" w:lineRule="atLeast"/>
                    <w:jc w:val="both"/>
                  </w:pPr>
                  <w:r>
                    <w:t>选课范围：无跨学科(模块)课程！</w:t>
                  </w:r>
                </w:p>
              </w:tc>
            </w:tr>
          </w:tbl>
          <w:p w14:paraId="077EF8EA">
            <w:pPr>
              <w:jc w:val="center"/>
            </w:pPr>
          </w:p>
        </w:tc>
      </w:tr>
      <w:tr w14:paraId="13C6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6E3E7F3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60B4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108"/>
              <w:gridCol w:w="959"/>
              <w:gridCol w:w="959"/>
              <w:gridCol w:w="1797"/>
              <w:gridCol w:w="879"/>
              <w:gridCol w:w="1638"/>
            </w:tblGrid>
            <w:tr w14:paraId="0E1E8EC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1C240F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1F5E119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6EC3591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0597B3D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17B8971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512046C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58B40B7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048774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17601D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ZB181001</w:t>
                  </w:r>
                </w:p>
              </w:tc>
              <w:tc>
                <w:tcPr>
                  <w:tcW w:w="0" w:type="auto"/>
                  <w:shd w:val="clear" w:color="auto" w:fill="auto"/>
                  <w:vAlign w:val="center"/>
                </w:tcPr>
                <w:p w14:paraId="1F7FF4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5B94B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开题报告是所有研究生确定学位论文选题、提出研究计划 的必修环节。所有研究生均须参加开题并通过考核。由导师所在的研究所组织安排</w:t>
                  </w:r>
                </w:p>
              </w:tc>
              <w:tc>
                <w:tcPr>
                  <w:tcW w:w="0" w:type="auto"/>
                  <w:shd w:val="clear" w:color="auto" w:fill="auto"/>
                  <w:vAlign w:val="center"/>
                </w:tcPr>
                <w:p w14:paraId="2B9441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03CE7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最迟于第三学期完成</w:t>
                  </w:r>
                </w:p>
              </w:tc>
            </w:tr>
            <w:tr w14:paraId="0F92E6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83886A0">
                  <w:pPr>
                    <w:jc w:val="center"/>
                    <w:rPr>
                      <w:rFonts w:hint="eastAsia" w:ascii="宋体"/>
                      <w:sz w:val="10"/>
                      <w:szCs w:val="10"/>
                    </w:rPr>
                  </w:pPr>
                </w:p>
              </w:tc>
              <w:tc>
                <w:tcPr>
                  <w:tcW w:w="0" w:type="auto"/>
                  <w:shd w:val="clear" w:color="auto" w:fill="auto"/>
                  <w:vAlign w:val="center"/>
                </w:tcPr>
                <w:p w14:paraId="72F678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ZB181009</w:t>
                  </w:r>
                </w:p>
              </w:tc>
              <w:tc>
                <w:tcPr>
                  <w:tcW w:w="0" w:type="auto"/>
                  <w:shd w:val="clear" w:color="auto" w:fill="auto"/>
                  <w:vAlign w:val="center"/>
                </w:tcPr>
                <w:p w14:paraId="197FF5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年度工作进展报告</w:t>
                  </w:r>
                </w:p>
              </w:tc>
              <w:tc>
                <w:tcPr>
                  <w:tcW w:w="1800" w:type="dxa"/>
                  <w:shd w:val="clear" w:color="auto" w:fill="auto"/>
                  <w:vAlign w:val="center"/>
                </w:tcPr>
                <w:p w14:paraId="484ED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专项试点工程博士在完成学位论文开题后，每年应提交年度工作进展报告，重点总结取得的研究进展，存在的主要问题，下一步的工作计划等导师组给子指导和督促，及时协调解决相关问题</w:t>
                  </w:r>
                </w:p>
              </w:tc>
              <w:tc>
                <w:tcPr>
                  <w:tcW w:w="0" w:type="auto"/>
                  <w:shd w:val="clear" w:color="auto" w:fill="auto"/>
                  <w:vAlign w:val="center"/>
                </w:tcPr>
                <w:p w14:paraId="2F0D17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33DD5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按照《化学化工学院专业学位研究生培养工作实施细则》执行</w:t>
                  </w:r>
                </w:p>
              </w:tc>
            </w:tr>
            <w:tr w14:paraId="7AB720A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D20AF4C">
                  <w:pPr>
                    <w:jc w:val="center"/>
                    <w:rPr>
                      <w:rFonts w:hint="eastAsia" w:ascii="宋体"/>
                      <w:sz w:val="10"/>
                      <w:szCs w:val="10"/>
                    </w:rPr>
                  </w:pPr>
                </w:p>
              </w:tc>
              <w:tc>
                <w:tcPr>
                  <w:tcW w:w="0" w:type="auto"/>
                  <w:shd w:val="clear" w:color="auto" w:fill="auto"/>
                  <w:vAlign w:val="center"/>
                </w:tcPr>
                <w:p w14:paraId="0DA110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ZB181002</w:t>
                  </w:r>
                </w:p>
              </w:tc>
              <w:tc>
                <w:tcPr>
                  <w:tcW w:w="0" w:type="auto"/>
                  <w:shd w:val="clear" w:color="auto" w:fill="auto"/>
                  <w:vAlign w:val="center"/>
                </w:tcPr>
                <w:p w14:paraId="5879C6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7B532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中期考核是全体研究生的必修环节，旨在对照培养方案的要求，从德、智、体、美、劳各方面对研究生的学业进 展、学习能力、论文进展、日常表现等进行全面检查，并对其后续学业安排提出意见、建议和要求，由导师所在的研究所组织安排。中期考核合格者，方可申请学位论文答辩。中期考核不合格者，允许在 至少 3 个月后再次参加中期考核，仍不合格者，予以分流或退学。</w:t>
                  </w:r>
                </w:p>
              </w:tc>
              <w:tc>
                <w:tcPr>
                  <w:tcW w:w="0" w:type="auto"/>
                  <w:shd w:val="clear" w:color="auto" w:fill="auto"/>
                  <w:vAlign w:val="center"/>
                </w:tcPr>
                <w:p w14:paraId="1FB551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52530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入学后第五学期完成， 考核通过者，方可申请学位论文答辩。</w:t>
                  </w:r>
                </w:p>
              </w:tc>
            </w:tr>
            <w:tr w14:paraId="2E04436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C89CB08">
                  <w:pPr>
                    <w:jc w:val="center"/>
                    <w:rPr>
                      <w:rFonts w:hint="eastAsia" w:ascii="宋体"/>
                      <w:sz w:val="10"/>
                      <w:szCs w:val="10"/>
                    </w:rPr>
                  </w:pPr>
                </w:p>
              </w:tc>
              <w:tc>
                <w:tcPr>
                  <w:tcW w:w="0" w:type="auto"/>
                  <w:shd w:val="clear" w:color="auto" w:fill="auto"/>
                  <w:vAlign w:val="center"/>
                </w:tcPr>
                <w:p w14:paraId="2F4316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ZB181007</w:t>
                  </w:r>
                </w:p>
              </w:tc>
              <w:tc>
                <w:tcPr>
                  <w:tcW w:w="0" w:type="auto"/>
                  <w:shd w:val="clear" w:color="auto" w:fill="auto"/>
                  <w:vAlign w:val="center"/>
                </w:tcPr>
                <w:p w14:paraId="3FAF50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608DA7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专业实践是研究生的必修环节。工程硕士专业实践全过程由企业负责，实践项目由企业提出并经学校确 认，范围包括(不限于)在研合作项目、“揭榜挂帅”需求项目以及企 业自研项目等。 专业实践实行工学交替模式，研究生在企业专业实践期间，根据需要也 可返校与学校导师、同学交流研讨实践项目，查阅图书文献，利用学校 科研平台、仪器设备进行补充研究等。专业实践结束后须撰写《专业实 践总结报告》，须有专业实践单位的考核评价意见以及导师组的审核意 见，审核合格并报学院审核通过后方可获得相应学分。</w:t>
                  </w:r>
                </w:p>
              </w:tc>
              <w:tc>
                <w:tcPr>
                  <w:tcW w:w="0" w:type="auto"/>
                  <w:shd w:val="clear" w:color="auto" w:fill="auto"/>
                  <w:vAlign w:val="center"/>
                </w:tcPr>
                <w:p w14:paraId="459268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1640" w:type="dxa"/>
                  <w:shd w:val="clear" w:color="auto" w:fill="auto"/>
                  <w:vAlign w:val="center"/>
                </w:tcPr>
                <w:p w14:paraId="2F79C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由校企联合确定</w:t>
                  </w:r>
                </w:p>
              </w:tc>
            </w:tr>
            <w:tr w14:paraId="0115560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B35DF73">
                  <w:pPr>
                    <w:jc w:val="center"/>
                    <w:rPr>
                      <w:rFonts w:hint="eastAsia" w:ascii="宋体"/>
                      <w:sz w:val="10"/>
                      <w:szCs w:val="10"/>
                    </w:rPr>
                  </w:pPr>
                </w:p>
              </w:tc>
              <w:tc>
                <w:tcPr>
                  <w:tcW w:w="0" w:type="auto"/>
                  <w:shd w:val="clear" w:color="auto" w:fill="auto"/>
                  <w:vAlign w:val="center"/>
                </w:tcPr>
                <w:p w14:paraId="7CBAD6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ZB181005</w:t>
                  </w:r>
                </w:p>
              </w:tc>
              <w:tc>
                <w:tcPr>
                  <w:tcW w:w="0" w:type="auto"/>
                  <w:shd w:val="clear" w:color="auto" w:fill="auto"/>
                  <w:vAlign w:val="center"/>
                </w:tcPr>
                <w:p w14:paraId="028211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6EF98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预答辩是全体研究生的必修环节，旨在帮助研究生发现学位论文中的问题，为其修改论文提供意见和建议，提高学位论文质量，预答辩组织实施由各研究所自行决定，预答辩通过后方可参加正式学位答辩。</w:t>
                  </w:r>
                </w:p>
              </w:tc>
              <w:tc>
                <w:tcPr>
                  <w:tcW w:w="0" w:type="auto"/>
                  <w:shd w:val="clear" w:color="auto" w:fill="auto"/>
                  <w:vAlign w:val="center"/>
                </w:tcPr>
                <w:p w14:paraId="59EB9B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4D067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正式答辩前完成</w:t>
                  </w:r>
                </w:p>
              </w:tc>
            </w:tr>
          </w:tbl>
          <w:p w14:paraId="3D8600B2">
            <w:pPr>
              <w:jc w:val="center"/>
            </w:pPr>
          </w:p>
        </w:tc>
      </w:tr>
      <w:tr w14:paraId="49C5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61A5B4AA">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5CCF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0FF3D48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1863C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5C97D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5B9EA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2F353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AAAA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727F4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6C7F31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4E8EA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1FEF7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D3CF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0A449AD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5F86FE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364F3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56AB2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2A9CB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4CC25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2566A69D">
            <w:pPr>
              <w:jc w:val="center"/>
            </w:pPr>
          </w:p>
        </w:tc>
      </w:tr>
    </w:tbl>
    <w:p w14:paraId="16D9FA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078558DF"/>
    <w:rsid w:val="0785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2024-11-13T02:40:00Z</dcterms:created>
  <dc:creator>keshi</dc:creator>
  <cp:lastModifiedBy>keshi</cp:lastModifiedBy>
  <dcterms:modified xsi:type="dcterms:W3CDTF">2024-11-13T02:40:59Z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FE086C1BB4CD435F8233B9D583C00181_11</vt:lpwstr>
  </property>
</Properties>
</file>